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EDA" w:rsidRPr="00186BE7" w:rsidRDefault="0027211A" w:rsidP="00227360">
      <w:pPr>
        <w:tabs>
          <w:tab w:val="left" w:pos="720"/>
        </w:tabs>
        <w:spacing w:after="240"/>
        <w:jc w:val="center"/>
        <w:rPr>
          <w:rFonts w:ascii="Arial" w:hAnsi="Arial"/>
          <w:b/>
          <w:caps/>
          <w:sz w:val="32"/>
        </w:rPr>
      </w:pPr>
      <w:r w:rsidRPr="00186BE7">
        <w:rPr>
          <w:rFonts w:ascii="Arial" w:hAnsi="Arial"/>
          <w:b/>
          <w:caps/>
          <w:sz w:val="32"/>
        </w:rPr>
        <w:t xml:space="preserve">Instructions to </w:t>
      </w:r>
      <w:r w:rsidR="009E20B4" w:rsidRPr="00186BE7">
        <w:rPr>
          <w:rFonts w:ascii="Arial" w:hAnsi="Arial"/>
          <w:b/>
          <w:caps/>
          <w:sz w:val="32"/>
        </w:rPr>
        <w:t xml:space="preserve">CM/GC for Producing the </w:t>
      </w:r>
      <w:r w:rsidRPr="00186BE7">
        <w:rPr>
          <w:rFonts w:ascii="Arial" w:hAnsi="Arial"/>
          <w:b/>
          <w:caps/>
          <w:sz w:val="32"/>
        </w:rPr>
        <w:t xml:space="preserve">GMP </w:t>
      </w:r>
    </w:p>
    <w:p w:rsidR="00103153" w:rsidRPr="00186BE7" w:rsidRDefault="00103153" w:rsidP="009E20B4">
      <w:pPr>
        <w:tabs>
          <w:tab w:val="left" w:pos="432"/>
        </w:tabs>
        <w:spacing w:before="240"/>
        <w:ind w:left="432" w:hanging="432"/>
        <w:jc w:val="both"/>
        <w:rPr>
          <w:rFonts w:ascii="Arial" w:hAnsi="Arial"/>
        </w:rPr>
      </w:pPr>
      <w:r w:rsidRPr="00186BE7">
        <w:rPr>
          <w:rFonts w:ascii="Arial" w:hAnsi="Arial"/>
          <w:b/>
          <w:sz w:val="24"/>
        </w:rPr>
        <w:t>A.</w:t>
      </w:r>
      <w:r w:rsidRPr="00186BE7">
        <w:rPr>
          <w:rFonts w:ascii="Arial" w:hAnsi="Arial"/>
        </w:rPr>
        <w:tab/>
        <w:t xml:space="preserve">Subcontractors that have been disqualified from participating in State Building Commission projects may not be </w:t>
      </w:r>
      <w:r w:rsidR="009E20B4" w:rsidRPr="00186BE7">
        <w:rPr>
          <w:rFonts w:ascii="Arial" w:hAnsi="Arial"/>
        </w:rPr>
        <w:t xml:space="preserve">recommended </w:t>
      </w:r>
      <w:r w:rsidRPr="00186BE7">
        <w:rPr>
          <w:rFonts w:ascii="Arial" w:hAnsi="Arial"/>
        </w:rPr>
        <w:t>for any part of this Work, and shall not be allowed to perform any part of this Work.  The CM/GC and its subcontractors shall not knowingly utilize the services of an illegal immigrant in the performance of this Work, and shall not knowingly utilize the services of any subcontractor, sub-subcontractor, or consultant who utilizes the services of an illegal immigrant in the performance of this Work.</w:t>
      </w:r>
    </w:p>
    <w:p w:rsidR="00103153" w:rsidRPr="00186BE7" w:rsidRDefault="00103153" w:rsidP="009E20B4">
      <w:pPr>
        <w:tabs>
          <w:tab w:val="left" w:pos="432"/>
        </w:tabs>
        <w:spacing w:before="240"/>
        <w:ind w:left="432" w:hanging="432"/>
        <w:jc w:val="both"/>
        <w:rPr>
          <w:rFonts w:ascii="Arial" w:hAnsi="Arial"/>
        </w:rPr>
      </w:pPr>
      <w:r w:rsidRPr="00186BE7">
        <w:rPr>
          <w:rFonts w:ascii="Arial" w:hAnsi="Arial"/>
          <w:b/>
          <w:sz w:val="24"/>
        </w:rPr>
        <w:t>B.</w:t>
      </w:r>
      <w:r w:rsidRPr="00186BE7">
        <w:rPr>
          <w:rFonts w:ascii="Arial" w:hAnsi="Arial"/>
        </w:rPr>
        <w:tab/>
        <w:t xml:space="preserve">The </w:t>
      </w:r>
      <w:r w:rsidR="009E20B4" w:rsidRPr="00186BE7">
        <w:rPr>
          <w:rFonts w:ascii="Arial" w:hAnsi="Arial"/>
        </w:rPr>
        <w:t xml:space="preserve">CM/GC </w:t>
      </w:r>
      <w:r w:rsidRPr="00186BE7">
        <w:rPr>
          <w:rFonts w:ascii="Arial" w:hAnsi="Arial"/>
        </w:rPr>
        <w:t xml:space="preserve">shall </w:t>
      </w:r>
      <w:r w:rsidR="009E20B4" w:rsidRPr="00186BE7">
        <w:rPr>
          <w:rFonts w:ascii="Arial" w:hAnsi="Arial"/>
        </w:rPr>
        <w:t xml:space="preserve">present the GMP with </w:t>
      </w:r>
      <w:r w:rsidRPr="00186BE7">
        <w:rPr>
          <w:rFonts w:ascii="Arial" w:hAnsi="Arial"/>
        </w:rPr>
        <w:t>an acknowledgement of all addenda.</w:t>
      </w:r>
    </w:p>
    <w:p w:rsidR="00103153" w:rsidRPr="00186BE7" w:rsidRDefault="00103153" w:rsidP="009E20B4">
      <w:pPr>
        <w:tabs>
          <w:tab w:val="left" w:pos="432"/>
        </w:tabs>
        <w:spacing w:before="240"/>
        <w:ind w:left="432" w:hanging="432"/>
        <w:jc w:val="both"/>
        <w:rPr>
          <w:rFonts w:ascii="Arial" w:hAnsi="Arial"/>
        </w:rPr>
      </w:pPr>
      <w:r w:rsidRPr="00186BE7">
        <w:rPr>
          <w:rFonts w:ascii="Arial" w:hAnsi="Arial"/>
          <w:b/>
          <w:sz w:val="24"/>
        </w:rPr>
        <w:t>C.</w:t>
      </w:r>
      <w:r w:rsidRPr="00186BE7">
        <w:rPr>
          <w:rFonts w:ascii="Arial" w:hAnsi="Arial"/>
        </w:rPr>
        <w:tab/>
        <w:t xml:space="preserve">If the </w:t>
      </w:r>
      <w:r w:rsidR="009E20B4" w:rsidRPr="00186BE7">
        <w:rPr>
          <w:rFonts w:ascii="Arial" w:hAnsi="Arial"/>
        </w:rPr>
        <w:t xml:space="preserve">GMP </w:t>
      </w:r>
      <w:r w:rsidRPr="00186BE7">
        <w:rPr>
          <w:rFonts w:ascii="Arial" w:hAnsi="Arial"/>
        </w:rPr>
        <w:t xml:space="preserve">includes work of a subcontract trade regulated by state licensing laws, the </w:t>
      </w:r>
      <w:r w:rsidR="009E20B4" w:rsidRPr="00186BE7">
        <w:rPr>
          <w:rFonts w:ascii="Arial" w:hAnsi="Arial"/>
          <w:strike/>
        </w:rPr>
        <w:t>CM/GC</w:t>
      </w:r>
      <w:r w:rsidR="009E20B4" w:rsidRPr="00186BE7">
        <w:rPr>
          <w:rFonts w:ascii="Arial" w:hAnsi="Arial"/>
        </w:rPr>
        <w:t xml:space="preserve"> </w:t>
      </w:r>
      <w:r w:rsidRPr="00186BE7">
        <w:rPr>
          <w:rFonts w:ascii="Arial" w:hAnsi="Arial"/>
        </w:rPr>
        <w:t>shall identify the subcontractor’s license information called for by licensing law.</w:t>
      </w:r>
    </w:p>
    <w:p w:rsidR="000C2068" w:rsidRPr="00186BE7" w:rsidRDefault="00103153" w:rsidP="009E20B4">
      <w:pPr>
        <w:tabs>
          <w:tab w:val="left" w:pos="432"/>
        </w:tabs>
        <w:spacing w:before="240"/>
        <w:ind w:left="432" w:hanging="432"/>
        <w:jc w:val="both"/>
        <w:rPr>
          <w:rFonts w:ascii="Arial" w:hAnsi="Arial"/>
        </w:rPr>
      </w:pPr>
      <w:r w:rsidRPr="00186BE7">
        <w:rPr>
          <w:rFonts w:ascii="Arial" w:hAnsi="Arial"/>
          <w:b/>
          <w:sz w:val="24"/>
        </w:rPr>
        <w:t>D</w:t>
      </w:r>
      <w:r w:rsidR="000C2068" w:rsidRPr="00186BE7">
        <w:rPr>
          <w:rFonts w:ascii="Arial" w:hAnsi="Arial"/>
          <w:b/>
          <w:sz w:val="24"/>
        </w:rPr>
        <w:t>.</w:t>
      </w:r>
      <w:r w:rsidR="000C2068" w:rsidRPr="00186BE7">
        <w:rPr>
          <w:rFonts w:ascii="Arial" w:hAnsi="Arial"/>
        </w:rPr>
        <w:tab/>
        <w:t xml:space="preserve">The </w:t>
      </w:r>
      <w:r w:rsidR="009E20B4" w:rsidRPr="00186BE7">
        <w:rPr>
          <w:rFonts w:ascii="Arial" w:hAnsi="Arial"/>
        </w:rPr>
        <w:t xml:space="preserve">CM/GC </w:t>
      </w:r>
      <w:r w:rsidR="000C2068" w:rsidRPr="00186BE7">
        <w:rPr>
          <w:rFonts w:ascii="Arial" w:hAnsi="Arial"/>
        </w:rPr>
        <w:t>shall provide the following information explaining the derivation of costs:</w:t>
      </w:r>
    </w:p>
    <w:p w:rsidR="000C2068" w:rsidRPr="00186BE7" w:rsidRDefault="000C2068" w:rsidP="000058BD">
      <w:pPr>
        <w:tabs>
          <w:tab w:val="left" w:pos="864"/>
        </w:tabs>
        <w:spacing w:before="240"/>
        <w:ind w:left="864" w:hanging="432"/>
        <w:jc w:val="both"/>
        <w:rPr>
          <w:rFonts w:ascii="Arial" w:hAnsi="Arial"/>
        </w:rPr>
      </w:pPr>
      <w:r w:rsidRPr="00186BE7">
        <w:rPr>
          <w:rFonts w:ascii="Arial" w:hAnsi="Arial"/>
          <w:b/>
          <w:sz w:val="24"/>
        </w:rPr>
        <w:t>1.</w:t>
      </w:r>
      <w:r w:rsidRPr="00186BE7">
        <w:rPr>
          <w:rFonts w:ascii="Arial" w:hAnsi="Arial"/>
        </w:rPr>
        <w:tab/>
        <w:t xml:space="preserve">Standard forms provided for documenting the </w:t>
      </w:r>
      <w:r w:rsidR="009E20B4" w:rsidRPr="00186BE7">
        <w:rPr>
          <w:rFonts w:ascii="Arial" w:hAnsi="Arial"/>
        </w:rPr>
        <w:t xml:space="preserve">GMP </w:t>
      </w:r>
      <w:r w:rsidRPr="00186BE7">
        <w:rPr>
          <w:rFonts w:ascii="Arial" w:hAnsi="Arial"/>
        </w:rPr>
        <w:t xml:space="preserve">are recommended for the convenience of the Owner, to provide the CM/GC with a basic format most easily evaluated and accepted by the Owner.  </w:t>
      </w:r>
      <w:r w:rsidR="000058BD" w:rsidRPr="00186BE7">
        <w:rPr>
          <w:rFonts w:ascii="Arial" w:hAnsi="Arial"/>
        </w:rPr>
        <w:t xml:space="preserve">These forms are reproduced in this project manual, and are available as Excel spreadsheets in the Designers’ Manual posted on the Owner’s website.  </w:t>
      </w:r>
      <w:r w:rsidRPr="00186BE7">
        <w:rPr>
          <w:rFonts w:ascii="Arial" w:hAnsi="Arial"/>
        </w:rPr>
        <w:t>Standard forms include:</w:t>
      </w:r>
      <w:r w:rsidRPr="00186BE7">
        <w:rPr>
          <w:rFonts w:ascii="Arial" w:hAnsi="Arial"/>
        </w:rPr>
        <w:br/>
        <w:t xml:space="preserve">Section 00 42 23 </w:t>
      </w:r>
      <w:r w:rsidR="009E20B4" w:rsidRPr="00186BE7">
        <w:rPr>
          <w:rFonts w:ascii="Arial" w:hAnsi="Arial"/>
        </w:rPr>
        <w:t xml:space="preserve">GMP </w:t>
      </w:r>
      <w:r w:rsidRPr="00186BE7">
        <w:rPr>
          <w:rFonts w:ascii="Arial" w:hAnsi="Arial"/>
        </w:rPr>
        <w:t>Summary</w:t>
      </w:r>
      <w:r w:rsidRPr="00186BE7">
        <w:rPr>
          <w:rFonts w:ascii="Arial" w:hAnsi="Arial"/>
        </w:rPr>
        <w:br/>
        <w:t xml:space="preserve">Section 00 42 71 </w:t>
      </w:r>
      <w:r w:rsidR="009E20B4" w:rsidRPr="00186BE7">
        <w:rPr>
          <w:rFonts w:ascii="Arial" w:hAnsi="Arial"/>
        </w:rPr>
        <w:t>GMP List</w:t>
      </w:r>
      <w:r w:rsidRPr="00186BE7">
        <w:rPr>
          <w:rFonts w:ascii="Arial" w:hAnsi="Arial"/>
        </w:rPr>
        <w:t xml:space="preserve"> of Trade Subcontracts</w:t>
      </w:r>
      <w:r w:rsidRPr="00186BE7">
        <w:rPr>
          <w:rFonts w:ascii="Arial" w:hAnsi="Arial"/>
        </w:rPr>
        <w:br/>
        <w:t xml:space="preserve">Section 00 42 75 </w:t>
      </w:r>
      <w:r w:rsidR="009E20B4" w:rsidRPr="00186BE7">
        <w:rPr>
          <w:rFonts w:ascii="Arial" w:hAnsi="Arial"/>
        </w:rPr>
        <w:t>GM</w:t>
      </w:r>
      <w:r w:rsidR="00092198" w:rsidRPr="00186BE7">
        <w:rPr>
          <w:rFonts w:ascii="Arial" w:hAnsi="Arial"/>
        </w:rPr>
        <w:t>P D</w:t>
      </w:r>
      <w:r w:rsidR="009E20B4" w:rsidRPr="00186BE7">
        <w:rPr>
          <w:rFonts w:ascii="Arial" w:hAnsi="Arial"/>
        </w:rPr>
        <w:t>isclosure</w:t>
      </w:r>
      <w:r w:rsidRPr="00186BE7">
        <w:rPr>
          <w:rFonts w:ascii="Arial" w:hAnsi="Arial"/>
        </w:rPr>
        <w:t xml:space="preserve"> of General Conditions</w:t>
      </w:r>
      <w:r w:rsidRPr="00186BE7">
        <w:rPr>
          <w:rFonts w:ascii="Arial" w:hAnsi="Arial"/>
        </w:rPr>
        <w:br/>
        <w:t xml:space="preserve">Section </w:t>
      </w:r>
      <w:r w:rsidR="009E20B4" w:rsidRPr="00186BE7">
        <w:rPr>
          <w:rFonts w:ascii="Arial" w:hAnsi="Arial"/>
        </w:rPr>
        <w:t>01 26 55 Form for Price of Work</w:t>
      </w:r>
    </w:p>
    <w:p w:rsidR="00CF5748" w:rsidRPr="00186BE7" w:rsidRDefault="00CF5748" w:rsidP="000058BD">
      <w:pPr>
        <w:tabs>
          <w:tab w:val="left" w:pos="864"/>
        </w:tabs>
        <w:spacing w:before="240"/>
        <w:ind w:left="864" w:hanging="432"/>
        <w:jc w:val="both"/>
        <w:rPr>
          <w:rFonts w:ascii="Arial" w:hAnsi="Arial"/>
        </w:rPr>
      </w:pPr>
      <w:r w:rsidRPr="00186BE7">
        <w:rPr>
          <w:rFonts w:ascii="Arial" w:hAnsi="Arial"/>
          <w:b/>
          <w:sz w:val="24"/>
          <w:szCs w:val="24"/>
        </w:rPr>
        <w:t>2.</w:t>
      </w:r>
      <w:r w:rsidRPr="00186BE7">
        <w:rPr>
          <w:rFonts w:ascii="Arial" w:hAnsi="Arial"/>
        </w:rPr>
        <w:tab/>
      </w:r>
      <w:r w:rsidR="00227360" w:rsidRPr="00186BE7">
        <w:rPr>
          <w:rFonts w:ascii="Arial" w:hAnsi="Arial"/>
        </w:rPr>
        <w:t>Provide a</w:t>
      </w:r>
      <w:r w:rsidR="009E20B4" w:rsidRPr="00186BE7">
        <w:rPr>
          <w:rFonts w:ascii="Arial" w:hAnsi="Arial"/>
        </w:rPr>
        <w:t xml:space="preserve"> </w:t>
      </w:r>
      <w:r w:rsidRPr="00186BE7">
        <w:rPr>
          <w:rFonts w:ascii="Arial" w:hAnsi="Arial"/>
        </w:rPr>
        <w:t xml:space="preserve">Cumulative Summary </w:t>
      </w:r>
      <w:r w:rsidR="00227360" w:rsidRPr="00186BE7">
        <w:rPr>
          <w:rFonts w:ascii="Arial" w:hAnsi="Arial"/>
        </w:rPr>
        <w:t xml:space="preserve">when </w:t>
      </w:r>
      <w:r w:rsidR="00361EB3" w:rsidRPr="00186BE7">
        <w:rPr>
          <w:rFonts w:ascii="Arial" w:hAnsi="Arial"/>
        </w:rPr>
        <w:t>add</w:t>
      </w:r>
      <w:r w:rsidR="00227360" w:rsidRPr="00186BE7">
        <w:rPr>
          <w:rFonts w:ascii="Arial" w:hAnsi="Arial"/>
        </w:rPr>
        <w:t xml:space="preserve">ing </w:t>
      </w:r>
      <w:r w:rsidR="00361EB3" w:rsidRPr="00186BE7">
        <w:rPr>
          <w:rFonts w:ascii="Arial" w:hAnsi="Arial"/>
        </w:rPr>
        <w:t xml:space="preserve">scope or phases to an existing GMP Contract, and </w:t>
      </w:r>
      <w:r w:rsidRPr="00186BE7">
        <w:rPr>
          <w:rFonts w:ascii="Arial" w:hAnsi="Arial"/>
        </w:rPr>
        <w:t xml:space="preserve">show the </w:t>
      </w:r>
      <w:r w:rsidR="00361EB3" w:rsidRPr="00186BE7">
        <w:rPr>
          <w:rFonts w:ascii="Arial" w:hAnsi="Arial"/>
        </w:rPr>
        <w:t>history of the current GMP, and the effect of the amend</w:t>
      </w:r>
      <w:r w:rsidR="00227360" w:rsidRPr="00186BE7">
        <w:rPr>
          <w:rFonts w:ascii="Arial" w:hAnsi="Arial"/>
        </w:rPr>
        <w:t>ing the new GMP to the existing GMP.</w:t>
      </w:r>
      <w:r w:rsidR="00361EB3" w:rsidRPr="00186BE7">
        <w:rPr>
          <w:rFonts w:ascii="Arial" w:hAnsi="Arial"/>
        </w:rPr>
        <w:t xml:space="preserve">  No standard form is provided, but a format similar to the </w:t>
      </w:r>
      <w:r w:rsidR="00227360" w:rsidRPr="00186BE7">
        <w:rPr>
          <w:rFonts w:ascii="Arial" w:hAnsi="Arial"/>
        </w:rPr>
        <w:t xml:space="preserve">GMP </w:t>
      </w:r>
      <w:r w:rsidR="00361EB3" w:rsidRPr="00186BE7">
        <w:rPr>
          <w:rFonts w:ascii="Arial" w:hAnsi="Arial"/>
        </w:rPr>
        <w:t>Summary is preferred.</w:t>
      </w:r>
    </w:p>
    <w:p w:rsidR="000C2068" w:rsidRPr="00186BE7" w:rsidRDefault="00361EB3" w:rsidP="000058BD">
      <w:pPr>
        <w:tabs>
          <w:tab w:val="left" w:pos="864"/>
        </w:tabs>
        <w:spacing w:before="240"/>
        <w:ind w:left="864" w:hanging="432"/>
        <w:jc w:val="both"/>
        <w:rPr>
          <w:rFonts w:ascii="Arial" w:hAnsi="Arial"/>
        </w:rPr>
      </w:pPr>
      <w:r w:rsidRPr="00186BE7">
        <w:rPr>
          <w:rFonts w:ascii="Arial" w:hAnsi="Arial"/>
          <w:b/>
          <w:sz w:val="24"/>
          <w:szCs w:val="24"/>
        </w:rPr>
        <w:t>3</w:t>
      </w:r>
      <w:r w:rsidR="000C2068" w:rsidRPr="00186BE7">
        <w:rPr>
          <w:rFonts w:ascii="Arial" w:hAnsi="Arial"/>
          <w:b/>
          <w:sz w:val="24"/>
          <w:szCs w:val="24"/>
        </w:rPr>
        <w:t>.</w:t>
      </w:r>
      <w:r w:rsidR="000C2068" w:rsidRPr="00186BE7">
        <w:rPr>
          <w:rFonts w:ascii="Arial" w:hAnsi="Arial"/>
        </w:rPr>
        <w:tab/>
      </w:r>
      <w:r w:rsidR="00227360" w:rsidRPr="00186BE7">
        <w:rPr>
          <w:rFonts w:ascii="Arial" w:hAnsi="Arial"/>
        </w:rPr>
        <w:t xml:space="preserve">GMP </w:t>
      </w:r>
      <w:r w:rsidR="000C2068" w:rsidRPr="00186BE7">
        <w:rPr>
          <w:rFonts w:ascii="Arial" w:hAnsi="Arial"/>
        </w:rPr>
        <w:t xml:space="preserve">Summary shall </w:t>
      </w:r>
      <w:r w:rsidR="00A5045D" w:rsidRPr="00186BE7">
        <w:rPr>
          <w:rFonts w:ascii="Arial" w:hAnsi="Arial"/>
        </w:rPr>
        <w:t>show the cost elements of trade subcontracts, general conditions, self-performance, CM/GC contingency, fee, and a total of these, with percentages for self-performance, contingency, and fee</w:t>
      </w:r>
      <w:r w:rsidR="000C2068" w:rsidRPr="00186BE7">
        <w:rPr>
          <w:rFonts w:ascii="Arial" w:hAnsi="Arial"/>
        </w:rPr>
        <w:t>.</w:t>
      </w:r>
      <w:r w:rsidR="00A5045D" w:rsidRPr="00186BE7">
        <w:rPr>
          <w:rFonts w:ascii="Arial" w:hAnsi="Arial"/>
        </w:rPr>
        <w:t xml:space="preserve">  If alternates are required and/or volunteered, these shall be shown distinct from the cost of the base work, and the cost elements named above provided for each.  The standard form accommodates this information as if there are three required and three volunteered alternates; however, it is not intended to infer a required number of alternates for a particular project.  The Owner normally expects quality pre-construction services to produce no alternates.</w:t>
      </w:r>
    </w:p>
    <w:p w:rsidR="00A5045D" w:rsidRPr="00186BE7" w:rsidRDefault="00361EB3" w:rsidP="000058BD">
      <w:pPr>
        <w:tabs>
          <w:tab w:val="left" w:pos="864"/>
        </w:tabs>
        <w:spacing w:before="240"/>
        <w:ind w:left="864" w:hanging="432"/>
        <w:jc w:val="both"/>
        <w:rPr>
          <w:rFonts w:ascii="Arial" w:hAnsi="Arial"/>
        </w:rPr>
      </w:pPr>
      <w:r w:rsidRPr="00186BE7">
        <w:rPr>
          <w:rFonts w:ascii="Arial" w:hAnsi="Arial"/>
          <w:b/>
          <w:sz w:val="24"/>
          <w:szCs w:val="24"/>
        </w:rPr>
        <w:t>4</w:t>
      </w:r>
      <w:r w:rsidR="00A5045D" w:rsidRPr="00186BE7">
        <w:rPr>
          <w:rFonts w:ascii="Arial" w:hAnsi="Arial"/>
          <w:b/>
          <w:sz w:val="24"/>
          <w:szCs w:val="24"/>
        </w:rPr>
        <w:t>.</w:t>
      </w:r>
      <w:r w:rsidR="00A5045D" w:rsidRPr="00186BE7">
        <w:rPr>
          <w:rFonts w:ascii="Arial" w:hAnsi="Arial"/>
        </w:rPr>
        <w:tab/>
      </w:r>
      <w:r w:rsidR="00227360" w:rsidRPr="00186BE7">
        <w:rPr>
          <w:rFonts w:ascii="Arial" w:hAnsi="Arial"/>
        </w:rPr>
        <w:t xml:space="preserve">GMP List </w:t>
      </w:r>
      <w:r w:rsidR="00A5045D" w:rsidRPr="00186BE7">
        <w:rPr>
          <w:rFonts w:ascii="Arial" w:hAnsi="Arial"/>
        </w:rPr>
        <w:t>of Trade Subcontracts shall show hard bids distinct from allowances and estimates.  If there are alternates, these shall be shown distinct fro</w:t>
      </w:r>
      <w:r w:rsidR="00F42122" w:rsidRPr="00186BE7">
        <w:rPr>
          <w:rFonts w:ascii="Arial" w:hAnsi="Arial"/>
        </w:rPr>
        <w:t xml:space="preserve">m the cost of the base work, similar to the </w:t>
      </w:r>
      <w:r w:rsidR="00227360" w:rsidRPr="00186BE7">
        <w:rPr>
          <w:rFonts w:ascii="Arial" w:hAnsi="Arial"/>
        </w:rPr>
        <w:t xml:space="preserve">GMP </w:t>
      </w:r>
      <w:r w:rsidR="00F42122" w:rsidRPr="00186BE7">
        <w:rPr>
          <w:rFonts w:ascii="Arial" w:hAnsi="Arial"/>
        </w:rPr>
        <w:t>Summary.  The standard form accommodates this information.</w:t>
      </w:r>
      <w:r w:rsidR="00351AC9" w:rsidRPr="00186BE7">
        <w:rPr>
          <w:rFonts w:ascii="Arial" w:hAnsi="Arial"/>
        </w:rPr>
        <w:t xml:space="preserve">  </w:t>
      </w:r>
      <w:r w:rsidR="00AC0EE5" w:rsidRPr="00186BE7">
        <w:rPr>
          <w:rFonts w:ascii="Arial" w:hAnsi="Arial"/>
        </w:rPr>
        <w:t xml:space="preserve">List only those allowances that are specified.  If an allowance is part of a trade subcontract, show the allowance portion as an allowance, and show the remainder of the trade in the Estimates or Hard Bids, as applicable.  </w:t>
      </w:r>
      <w:r w:rsidR="00351AC9" w:rsidRPr="00186BE7">
        <w:rPr>
          <w:rFonts w:ascii="Arial" w:hAnsi="Arial"/>
        </w:rPr>
        <w:t>Trades may only be so designated to the extent that they are being procured through bidding, either before or after the GMP agreement or amendment, in accordance with the Master Contract.  Portions of the Work that the CM/GC will procure through direct purchase without bidding cannot be Trades, and must be a part of Self-Performance.</w:t>
      </w:r>
      <w:r w:rsidR="00227360" w:rsidRPr="00186BE7">
        <w:rPr>
          <w:rFonts w:ascii="Arial" w:hAnsi="Arial"/>
        </w:rPr>
        <w:t xml:space="preserve">  An exception to the requirement of bidding a trade can be </w:t>
      </w:r>
      <w:r w:rsidR="004D0144" w:rsidRPr="005F5965">
        <w:rPr>
          <w:rFonts w:ascii="Arial" w:hAnsi="Arial"/>
        </w:rPr>
        <w:t xml:space="preserve">in accordance with specification section 01 29 16 </w:t>
      </w:r>
      <w:bookmarkStart w:id="0" w:name="_GoBack"/>
      <w:bookmarkEnd w:id="0"/>
      <w:r w:rsidR="004D0144" w:rsidRPr="005F5965">
        <w:rPr>
          <w:rFonts w:ascii="Arial" w:hAnsi="Arial"/>
        </w:rPr>
        <w:t>paragraph 1.03.F</w:t>
      </w:r>
      <w:r w:rsidR="00092198" w:rsidRPr="00186BE7">
        <w:rPr>
          <w:rFonts w:ascii="Arial" w:hAnsi="Arial"/>
        </w:rPr>
        <w:t>.</w:t>
      </w:r>
    </w:p>
    <w:p w:rsidR="00F42122" w:rsidRPr="00186BE7" w:rsidRDefault="00361EB3" w:rsidP="000058BD">
      <w:pPr>
        <w:tabs>
          <w:tab w:val="left" w:pos="864"/>
        </w:tabs>
        <w:spacing w:before="240"/>
        <w:ind w:left="864" w:hanging="432"/>
        <w:jc w:val="both"/>
        <w:rPr>
          <w:rFonts w:ascii="Arial" w:hAnsi="Arial"/>
        </w:rPr>
      </w:pPr>
      <w:r w:rsidRPr="00186BE7">
        <w:rPr>
          <w:rFonts w:ascii="Arial" w:hAnsi="Arial"/>
          <w:b/>
          <w:sz w:val="24"/>
          <w:szCs w:val="24"/>
        </w:rPr>
        <w:t>5</w:t>
      </w:r>
      <w:r w:rsidR="00F42122" w:rsidRPr="00186BE7">
        <w:rPr>
          <w:rFonts w:ascii="Arial" w:hAnsi="Arial"/>
          <w:b/>
          <w:sz w:val="24"/>
          <w:szCs w:val="24"/>
        </w:rPr>
        <w:t>.</w:t>
      </w:r>
      <w:r w:rsidR="00F42122" w:rsidRPr="00186BE7">
        <w:rPr>
          <w:rFonts w:ascii="Arial" w:hAnsi="Arial"/>
        </w:rPr>
        <w:tab/>
        <w:t xml:space="preserve">Bid Tabulation of Trade Subcontracts shall show the various trade bids in a manner that facilitates easy comparison and determination of the low bidder, with notations explaining post-bid adjustments and rejections.  </w:t>
      </w:r>
      <w:r w:rsidR="00092198" w:rsidRPr="00186BE7">
        <w:rPr>
          <w:rFonts w:ascii="Arial" w:hAnsi="Arial"/>
        </w:rPr>
        <w:t xml:space="preserve">Copies of the bids shall also be provided, to allow the Designer and Owner the opportunity to correlate the Bid Tabulation to the bids.  </w:t>
      </w:r>
      <w:r w:rsidR="00F42122" w:rsidRPr="00186BE7">
        <w:rPr>
          <w:rFonts w:ascii="Arial" w:hAnsi="Arial"/>
        </w:rPr>
        <w:t>No standard format is provided.</w:t>
      </w:r>
    </w:p>
    <w:p w:rsidR="006578B0" w:rsidRPr="00186BE7" w:rsidRDefault="006578B0" w:rsidP="006578B0">
      <w:pPr>
        <w:tabs>
          <w:tab w:val="left" w:pos="864"/>
        </w:tabs>
        <w:spacing w:before="240"/>
        <w:ind w:left="864" w:hanging="432"/>
        <w:jc w:val="both"/>
        <w:rPr>
          <w:rFonts w:ascii="Arial" w:hAnsi="Arial"/>
        </w:rPr>
      </w:pPr>
      <w:r w:rsidRPr="00186BE7">
        <w:rPr>
          <w:rFonts w:ascii="Arial" w:hAnsi="Arial"/>
          <w:b/>
          <w:sz w:val="24"/>
          <w:szCs w:val="24"/>
        </w:rPr>
        <w:lastRenderedPageBreak/>
        <w:t>6.</w:t>
      </w:r>
      <w:r w:rsidRPr="00186BE7">
        <w:rPr>
          <w:rFonts w:ascii="Arial" w:hAnsi="Arial"/>
        </w:rPr>
        <w:tab/>
        <w:t>The Self-Performance portion of the GMP shall be itemized using the Form for Price of Work, showing the costs, overhead, and profit in a manner similar to that required for change order price itemization.  The standard form accommodates this information.</w:t>
      </w:r>
    </w:p>
    <w:p w:rsidR="00F42122" w:rsidRPr="00186BE7" w:rsidRDefault="006578B0" w:rsidP="000058BD">
      <w:pPr>
        <w:tabs>
          <w:tab w:val="left" w:pos="864"/>
        </w:tabs>
        <w:spacing w:before="240"/>
        <w:ind w:left="864" w:hanging="432"/>
        <w:jc w:val="both"/>
        <w:rPr>
          <w:rFonts w:ascii="Arial" w:hAnsi="Arial"/>
        </w:rPr>
      </w:pPr>
      <w:r w:rsidRPr="00186BE7">
        <w:rPr>
          <w:rFonts w:ascii="Arial" w:hAnsi="Arial"/>
          <w:b/>
          <w:sz w:val="24"/>
          <w:szCs w:val="24"/>
        </w:rPr>
        <w:t>7</w:t>
      </w:r>
      <w:r w:rsidR="00F42122" w:rsidRPr="00186BE7">
        <w:rPr>
          <w:rFonts w:ascii="Arial" w:hAnsi="Arial"/>
          <w:b/>
          <w:sz w:val="24"/>
          <w:szCs w:val="24"/>
        </w:rPr>
        <w:t>.</w:t>
      </w:r>
      <w:r w:rsidR="00F42122" w:rsidRPr="00186BE7">
        <w:rPr>
          <w:rFonts w:ascii="Arial" w:hAnsi="Arial"/>
        </w:rPr>
        <w:tab/>
      </w:r>
      <w:r w:rsidR="00092198" w:rsidRPr="00186BE7">
        <w:rPr>
          <w:rFonts w:ascii="Arial" w:hAnsi="Arial"/>
        </w:rPr>
        <w:t xml:space="preserve">GMP Disclosure </w:t>
      </w:r>
      <w:r w:rsidR="00F42122" w:rsidRPr="00186BE7">
        <w:rPr>
          <w:rFonts w:ascii="Arial" w:hAnsi="Arial"/>
        </w:rPr>
        <w:t xml:space="preserve">of General Conditions shall list the line items included in the original proposal by which the CM/GC was selected, and the comparable costs included in the specific GMP </w:t>
      </w:r>
      <w:r w:rsidR="00092198" w:rsidRPr="00186BE7">
        <w:rPr>
          <w:rFonts w:ascii="Arial" w:hAnsi="Arial"/>
        </w:rPr>
        <w:t>being presented</w:t>
      </w:r>
      <w:r w:rsidR="00F42122" w:rsidRPr="00186BE7">
        <w:rPr>
          <w:rFonts w:ascii="Arial" w:hAnsi="Arial"/>
        </w:rPr>
        <w:t xml:space="preserve">, identifying and explaining deviations.  The standard form </w:t>
      </w:r>
      <w:r w:rsidR="00CF5748" w:rsidRPr="00186BE7">
        <w:rPr>
          <w:rFonts w:ascii="Arial" w:hAnsi="Arial"/>
        </w:rPr>
        <w:t>accommodates this information based on commonly used line items, but is not necessarily all-inclusive of line items applicable in this instance.</w:t>
      </w:r>
    </w:p>
    <w:p w:rsidR="00CF5748" w:rsidRDefault="00103153" w:rsidP="000058BD">
      <w:pPr>
        <w:tabs>
          <w:tab w:val="left" w:pos="432"/>
        </w:tabs>
        <w:spacing w:before="240"/>
        <w:ind w:left="432" w:hanging="432"/>
        <w:jc w:val="both"/>
        <w:rPr>
          <w:rFonts w:ascii="Arial" w:hAnsi="Arial"/>
        </w:rPr>
      </w:pPr>
      <w:r>
        <w:rPr>
          <w:rFonts w:ascii="Arial" w:hAnsi="Arial"/>
          <w:b/>
          <w:sz w:val="24"/>
        </w:rPr>
        <w:t>E</w:t>
      </w:r>
      <w:r w:rsidR="00CF5748" w:rsidRPr="00836413">
        <w:rPr>
          <w:rFonts w:ascii="Arial" w:hAnsi="Arial"/>
          <w:b/>
          <w:sz w:val="24"/>
        </w:rPr>
        <w:t>.</w:t>
      </w:r>
      <w:r w:rsidR="00CF5748">
        <w:rPr>
          <w:rFonts w:ascii="Arial" w:hAnsi="Arial"/>
        </w:rPr>
        <w:tab/>
        <w:t xml:space="preserve">The proposal is to be submitted </w:t>
      </w:r>
      <w:r w:rsidR="0027211A">
        <w:rPr>
          <w:rFonts w:ascii="Arial" w:hAnsi="Arial"/>
        </w:rPr>
        <w:t xml:space="preserve">to the Owner and copied </w:t>
      </w:r>
      <w:r w:rsidR="00CF5748">
        <w:rPr>
          <w:rFonts w:ascii="Arial" w:hAnsi="Arial"/>
        </w:rPr>
        <w:t>simultaneously to the Designer.</w:t>
      </w:r>
    </w:p>
    <w:p w:rsidR="000870D8" w:rsidRDefault="00103153" w:rsidP="000058BD">
      <w:pPr>
        <w:tabs>
          <w:tab w:val="left" w:pos="432"/>
        </w:tabs>
        <w:spacing w:before="240"/>
        <w:ind w:left="432" w:hanging="432"/>
        <w:jc w:val="both"/>
        <w:rPr>
          <w:rFonts w:ascii="Arial" w:hAnsi="Arial"/>
        </w:rPr>
      </w:pPr>
      <w:r>
        <w:rPr>
          <w:rFonts w:ascii="Arial" w:hAnsi="Arial"/>
          <w:b/>
          <w:sz w:val="24"/>
        </w:rPr>
        <w:t>F</w:t>
      </w:r>
      <w:r w:rsidR="000870D8" w:rsidRPr="00836413">
        <w:rPr>
          <w:rFonts w:ascii="Arial" w:hAnsi="Arial"/>
          <w:b/>
          <w:sz w:val="24"/>
        </w:rPr>
        <w:t>.</w:t>
      </w:r>
      <w:r w:rsidR="000870D8">
        <w:rPr>
          <w:rFonts w:ascii="Arial" w:hAnsi="Arial"/>
        </w:rPr>
        <w:tab/>
        <w:t xml:space="preserve">Once submitted, </w:t>
      </w:r>
      <w:r w:rsidR="000C2068">
        <w:rPr>
          <w:rFonts w:ascii="Arial" w:hAnsi="Arial"/>
        </w:rPr>
        <w:t>the</w:t>
      </w:r>
      <w:r w:rsidR="000870D8">
        <w:rPr>
          <w:rFonts w:ascii="Arial" w:hAnsi="Arial"/>
        </w:rPr>
        <w:t xml:space="preserve"> proposal must be firm for thirty (30) days for the Owner to evaluate and complete the award or amendment, including five (5) days allowed for </w:t>
      </w:r>
      <w:r w:rsidR="000C2068">
        <w:rPr>
          <w:rFonts w:ascii="Arial" w:hAnsi="Arial"/>
        </w:rPr>
        <w:t>the proposer</w:t>
      </w:r>
      <w:r w:rsidR="000870D8">
        <w:rPr>
          <w:rFonts w:ascii="Arial" w:hAnsi="Arial"/>
        </w:rPr>
        <w:t xml:space="preserve"> to sign and return award or amendment documents, once provided by the Owner, </w:t>
      </w:r>
      <w:r w:rsidR="008123C0">
        <w:rPr>
          <w:rFonts w:ascii="Arial" w:hAnsi="Arial"/>
        </w:rPr>
        <w:t xml:space="preserve">plus all required </w:t>
      </w:r>
      <w:r w:rsidR="000870D8">
        <w:rPr>
          <w:rFonts w:ascii="Arial" w:hAnsi="Arial"/>
        </w:rPr>
        <w:t>bonds and insurance documents.</w:t>
      </w:r>
    </w:p>
    <w:p w:rsidR="00361EB3" w:rsidRPr="00361EB3" w:rsidRDefault="00361EB3" w:rsidP="000058BD">
      <w:pPr>
        <w:tabs>
          <w:tab w:val="left" w:pos="432"/>
        </w:tabs>
        <w:spacing w:before="240"/>
        <w:ind w:left="432" w:hanging="432"/>
        <w:jc w:val="both"/>
        <w:rPr>
          <w:rFonts w:ascii="Arial" w:hAnsi="Arial"/>
          <w:b/>
          <w:smallCaps/>
          <w:sz w:val="24"/>
          <w:szCs w:val="24"/>
        </w:rPr>
      </w:pPr>
      <w:r w:rsidRPr="00361EB3">
        <w:rPr>
          <w:rFonts w:ascii="Arial" w:hAnsi="Arial"/>
          <w:b/>
          <w:smallCaps/>
          <w:sz w:val="24"/>
          <w:szCs w:val="24"/>
        </w:rPr>
        <w:t>End of Section</w:t>
      </w:r>
    </w:p>
    <w:sectPr w:rsidR="00361EB3" w:rsidRPr="00361EB3" w:rsidSect="00DD6ED2">
      <w:footerReference w:type="default" r:id="rId6"/>
      <w:footnotePr>
        <w:numRestart w:val="eachSect"/>
      </w:footnotePr>
      <w:type w:val="continuous"/>
      <w:pgSz w:w="12240" w:h="15840" w:code="1"/>
      <w:pgMar w:top="720" w:right="720" w:bottom="216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31D7" w:rsidRDefault="007131D7">
      <w:r>
        <w:separator/>
      </w:r>
    </w:p>
  </w:endnote>
  <w:endnote w:type="continuationSeparator" w:id="0">
    <w:p w:rsidR="007131D7" w:rsidRDefault="0071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5580"/>
      <w:gridCol w:w="4500"/>
    </w:tblGrid>
    <w:tr w:rsidR="00CF5748" w:rsidRPr="00D62E7A" w:rsidTr="00705701">
      <w:trPr>
        <w:trHeight w:val="490"/>
      </w:trPr>
      <w:tc>
        <w:tcPr>
          <w:tcW w:w="5580" w:type="dxa"/>
          <w:vAlign w:val="bottom"/>
        </w:tcPr>
        <w:p w:rsidR="00CF5748" w:rsidRPr="00D62E7A" w:rsidRDefault="00CF5748" w:rsidP="007D16BF">
          <w:pPr>
            <w:rPr>
              <w:rFonts w:ascii="Arial" w:hAnsi="Arial"/>
              <w:sz w:val="16"/>
              <w:szCs w:val="16"/>
            </w:rPr>
          </w:pPr>
          <w:r w:rsidRPr="00D62E7A">
            <w:rPr>
              <w:rFonts w:ascii="Arial" w:hAnsi="Arial"/>
              <w:sz w:val="16"/>
              <w:szCs w:val="16"/>
            </w:rPr>
            <w:t xml:space="preserve">Posted in </w:t>
          </w:r>
          <w:r w:rsidR="00937D96">
            <w:rPr>
              <w:rFonts w:ascii="Arial" w:hAnsi="Arial"/>
              <w:sz w:val="16"/>
              <w:szCs w:val="16"/>
            </w:rPr>
            <w:t>PDF</w:t>
          </w:r>
          <w:r w:rsidRPr="00D62E7A">
            <w:rPr>
              <w:rFonts w:ascii="Arial" w:hAnsi="Arial"/>
              <w:sz w:val="16"/>
              <w:szCs w:val="16"/>
            </w:rPr>
            <w:t xml:space="preserve"> format</w:t>
          </w:r>
          <w:r w:rsidR="009E6207">
            <w:rPr>
              <w:rFonts w:ascii="Arial" w:hAnsi="Arial"/>
              <w:sz w:val="16"/>
              <w:szCs w:val="16"/>
            </w:rPr>
            <w:br/>
            <w:t>GMP General Work</w:t>
          </w:r>
        </w:p>
        <w:p w:rsidR="00CF5748" w:rsidRPr="00D62E7A" w:rsidRDefault="001D0FCE" w:rsidP="001D0FCE">
          <w:pPr>
            <w:rPr>
              <w:rFonts w:ascii="Arial" w:hAnsi="Arial"/>
              <w:sz w:val="16"/>
              <w:szCs w:val="16"/>
            </w:rPr>
          </w:pPr>
          <w:r>
            <w:rPr>
              <w:rFonts w:ascii="Arial" w:hAnsi="Arial"/>
              <w:b/>
              <w:color w:val="008000"/>
              <w:sz w:val="16"/>
              <w:szCs w:val="16"/>
            </w:rPr>
            <w:t>December 1 CPCA</w:t>
          </w:r>
          <w:r w:rsidR="00CF5748" w:rsidRPr="00D62E7A">
            <w:rPr>
              <w:rFonts w:ascii="Arial" w:hAnsi="Arial"/>
              <w:sz w:val="16"/>
              <w:szCs w:val="16"/>
            </w:rPr>
            <w:t xml:space="preserve"> s00</w:t>
          </w:r>
          <w:r w:rsidR="0027211A">
            <w:rPr>
              <w:rFonts w:ascii="Arial" w:hAnsi="Arial"/>
              <w:sz w:val="16"/>
              <w:szCs w:val="16"/>
            </w:rPr>
            <w:t>2</w:t>
          </w:r>
          <w:r w:rsidR="00CF5748">
            <w:rPr>
              <w:rFonts w:ascii="Arial" w:hAnsi="Arial"/>
              <w:sz w:val="16"/>
              <w:szCs w:val="16"/>
            </w:rPr>
            <w:t>119</w:t>
          </w:r>
          <w:r w:rsidR="009E6207">
            <w:rPr>
              <w:rFonts w:ascii="Arial" w:hAnsi="Arial"/>
              <w:sz w:val="16"/>
              <w:szCs w:val="16"/>
            </w:rPr>
            <w:t xml:space="preserve"> p</w:t>
          </w:r>
          <w:r w:rsidR="00CF5748" w:rsidRPr="00D62E7A">
            <w:rPr>
              <w:rFonts w:ascii="Arial" w:hAnsi="Arial"/>
              <w:sz w:val="16"/>
              <w:szCs w:val="16"/>
            </w:rPr>
            <w:t xml:space="preserve">age </w:t>
          </w:r>
          <w:r w:rsidR="00CF5748" w:rsidRPr="00D62E7A">
            <w:rPr>
              <w:rFonts w:ascii="Arial" w:hAnsi="Arial"/>
              <w:sz w:val="16"/>
              <w:szCs w:val="16"/>
            </w:rPr>
            <w:pgNum/>
          </w:r>
          <w:r w:rsidR="00CF5748" w:rsidRPr="00D62E7A">
            <w:rPr>
              <w:rFonts w:ascii="Arial" w:hAnsi="Arial"/>
              <w:sz w:val="16"/>
              <w:szCs w:val="16"/>
            </w:rPr>
            <w:t xml:space="preserve"> of </w:t>
          </w:r>
          <w:r w:rsidR="00CF5748" w:rsidRPr="00D62E7A">
            <w:rPr>
              <w:rFonts w:ascii="Arial" w:hAnsi="Arial"/>
              <w:sz w:val="16"/>
              <w:szCs w:val="16"/>
            </w:rPr>
            <w:fldChar w:fldCharType="begin"/>
          </w:r>
          <w:r w:rsidR="00CF5748" w:rsidRPr="00D62E7A">
            <w:rPr>
              <w:rFonts w:ascii="Arial" w:hAnsi="Arial"/>
              <w:sz w:val="16"/>
              <w:szCs w:val="16"/>
            </w:rPr>
            <w:instrText xml:space="preserve"> NUMPAGES </w:instrText>
          </w:r>
          <w:r w:rsidR="00CF5748" w:rsidRPr="00D62E7A">
            <w:rPr>
              <w:rFonts w:ascii="Arial" w:hAnsi="Arial"/>
              <w:sz w:val="16"/>
              <w:szCs w:val="16"/>
            </w:rPr>
            <w:fldChar w:fldCharType="separate"/>
          </w:r>
          <w:r>
            <w:rPr>
              <w:rFonts w:ascii="Arial" w:hAnsi="Arial"/>
              <w:noProof/>
              <w:sz w:val="16"/>
              <w:szCs w:val="16"/>
            </w:rPr>
            <w:t>2</w:t>
          </w:r>
          <w:r w:rsidR="00CF5748" w:rsidRPr="00D62E7A">
            <w:rPr>
              <w:rFonts w:ascii="Arial" w:hAnsi="Arial"/>
              <w:sz w:val="16"/>
              <w:szCs w:val="16"/>
            </w:rPr>
            <w:fldChar w:fldCharType="end"/>
          </w:r>
        </w:p>
      </w:tc>
      <w:tc>
        <w:tcPr>
          <w:tcW w:w="4500" w:type="dxa"/>
          <w:vAlign w:val="bottom"/>
        </w:tcPr>
        <w:p w:rsidR="00CF5748" w:rsidRPr="00D62E7A" w:rsidRDefault="0027211A" w:rsidP="007D16BF">
          <w:pPr>
            <w:jc w:val="right"/>
            <w:rPr>
              <w:rFonts w:ascii="Arial" w:hAnsi="Arial"/>
              <w:b/>
              <w:sz w:val="24"/>
            </w:rPr>
          </w:pPr>
          <w:r>
            <w:rPr>
              <w:rFonts w:ascii="Arial" w:hAnsi="Arial"/>
              <w:b/>
              <w:sz w:val="24"/>
            </w:rPr>
            <w:t xml:space="preserve">Instructions </w:t>
          </w:r>
          <w:r w:rsidR="000058BD" w:rsidRPr="00186BE7">
            <w:rPr>
              <w:rFonts w:ascii="Arial" w:hAnsi="Arial"/>
              <w:b/>
              <w:sz w:val="24"/>
            </w:rPr>
            <w:t xml:space="preserve">for Producing </w:t>
          </w:r>
          <w:r>
            <w:rPr>
              <w:rFonts w:ascii="Arial" w:hAnsi="Arial"/>
              <w:b/>
              <w:sz w:val="24"/>
            </w:rPr>
            <w:t xml:space="preserve">GMP </w:t>
          </w:r>
        </w:p>
        <w:p w:rsidR="00CF5748" w:rsidRPr="00D62E7A" w:rsidRDefault="00CF5748" w:rsidP="0027211A">
          <w:pPr>
            <w:jc w:val="right"/>
            <w:rPr>
              <w:rFonts w:ascii="Arial" w:hAnsi="Arial"/>
              <w:b/>
              <w:sz w:val="24"/>
            </w:rPr>
          </w:pPr>
          <w:r w:rsidRPr="00D62E7A">
            <w:rPr>
              <w:rFonts w:ascii="Arial" w:hAnsi="Arial"/>
              <w:b/>
              <w:sz w:val="24"/>
            </w:rPr>
            <w:t>00 </w:t>
          </w:r>
          <w:r w:rsidR="0027211A">
            <w:rPr>
              <w:rFonts w:ascii="Arial" w:hAnsi="Arial"/>
              <w:b/>
              <w:sz w:val="24"/>
            </w:rPr>
            <w:t>2</w:t>
          </w:r>
          <w:r>
            <w:rPr>
              <w:rFonts w:ascii="Arial" w:hAnsi="Arial"/>
              <w:b/>
              <w:sz w:val="24"/>
            </w:rPr>
            <w:t>1</w:t>
          </w:r>
          <w:r w:rsidRPr="00D62E7A">
            <w:rPr>
              <w:rFonts w:ascii="Arial" w:hAnsi="Arial"/>
              <w:b/>
              <w:sz w:val="24"/>
            </w:rPr>
            <w:t> </w:t>
          </w:r>
          <w:r>
            <w:rPr>
              <w:rFonts w:ascii="Arial" w:hAnsi="Arial"/>
              <w:b/>
              <w:sz w:val="24"/>
            </w:rPr>
            <w:t>19</w:t>
          </w:r>
          <w:r w:rsidRPr="00D62E7A">
            <w:rPr>
              <w:rFonts w:ascii="Arial" w:hAnsi="Arial"/>
              <w:b/>
              <w:sz w:val="24"/>
            </w:rPr>
            <w:t xml:space="preserve"> - </w:t>
          </w:r>
          <w:r w:rsidRPr="00D62E7A">
            <w:rPr>
              <w:rFonts w:ascii="Arial" w:hAnsi="Arial"/>
              <w:b/>
              <w:sz w:val="24"/>
            </w:rPr>
            <w:pgNum/>
          </w:r>
        </w:p>
      </w:tc>
    </w:tr>
  </w:tbl>
  <w:p w:rsidR="00CF5748" w:rsidRPr="003A22A9" w:rsidRDefault="00CF5748" w:rsidP="00804DCA">
    <w:pPr>
      <w:tabs>
        <w:tab w:val="right" w:pos="10080"/>
      </w:tabs>
      <w:jc w:val="center"/>
      <w:rPr>
        <w:rFonts w:ascii="Arial" w:hAnsi="Arial"/>
        <w:color w:val="008000"/>
        <w:sz w:val="4"/>
        <w:szCs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31D7" w:rsidRDefault="007131D7">
      <w:r>
        <w:separator/>
      </w:r>
    </w:p>
  </w:footnote>
  <w:footnote w:type="continuationSeparator" w:id="0">
    <w:p w:rsidR="007131D7" w:rsidRDefault="007131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FEC"/>
    <w:rsid w:val="000058BD"/>
    <w:rsid w:val="00064C19"/>
    <w:rsid w:val="000870D8"/>
    <w:rsid w:val="000876E3"/>
    <w:rsid w:val="00092198"/>
    <w:rsid w:val="000C2068"/>
    <w:rsid w:val="000E41D6"/>
    <w:rsid w:val="00103153"/>
    <w:rsid w:val="00186BE7"/>
    <w:rsid w:val="001D0FCE"/>
    <w:rsid w:val="00227360"/>
    <w:rsid w:val="00244B82"/>
    <w:rsid w:val="0027211A"/>
    <w:rsid w:val="00293C5C"/>
    <w:rsid w:val="00334388"/>
    <w:rsid w:val="00351AC9"/>
    <w:rsid w:val="00361EB3"/>
    <w:rsid w:val="003906FF"/>
    <w:rsid w:val="004D0144"/>
    <w:rsid w:val="0051282C"/>
    <w:rsid w:val="00526215"/>
    <w:rsid w:val="005659DC"/>
    <w:rsid w:val="005D4EDA"/>
    <w:rsid w:val="005F5965"/>
    <w:rsid w:val="00647488"/>
    <w:rsid w:val="006578B0"/>
    <w:rsid w:val="00705701"/>
    <w:rsid w:val="007131D7"/>
    <w:rsid w:val="007D16BF"/>
    <w:rsid w:val="00804DCA"/>
    <w:rsid w:val="008123C0"/>
    <w:rsid w:val="00836413"/>
    <w:rsid w:val="00874E0B"/>
    <w:rsid w:val="008811A1"/>
    <w:rsid w:val="00891A1C"/>
    <w:rsid w:val="00937D96"/>
    <w:rsid w:val="00982E89"/>
    <w:rsid w:val="009E20B4"/>
    <w:rsid w:val="009E6207"/>
    <w:rsid w:val="00A22C52"/>
    <w:rsid w:val="00A5045D"/>
    <w:rsid w:val="00A52A8F"/>
    <w:rsid w:val="00AC0EE5"/>
    <w:rsid w:val="00B004BB"/>
    <w:rsid w:val="00B05EC9"/>
    <w:rsid w:val="00BB2A00"/>
    <w:rsid w:val="00BC27BF"/>
    <w:rsid w:val="00BD2D56"/>
    <w:rsid w:val="00C27A41"/>
    <w:rsid w:val="00C4709C"/>
    <w:rsid w:val="00CC1FEC"/>
    <w:rsid w:val="00CF5748"/>
    <w:rsid w:val="00D5783A"/>
    <w:rsid w:val="00DA58B9"/>
    <w:rsid w:val="00DB4279"/>
    <w:rsid w:val="00DD6ED2"/>
    <w:rsid w:val="00DF1638"/>
    <w:rsid w:val="00E1705A"/>
    <w:rsid w:val="00F421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9B0E592-22CE-4480-8944-FAF379571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lockText">
    <w:name w:val="Block Text"/>
    <w:basedOn w:val="Normal"/>
    <w:pPr>
      <w:spacing w:after="120"/>
      <w:ind w:left="2160" w:right="1440"/>
      <w:jc w:val="both"/>
    </w:pPr>
    <w:rPr>
      <w:rFonts w:ascii="Arial" w:hAnsi="Arial"/>
      <w:sz w:val="22"/>
    </w:rPr>
  </w:style>
  <w:style w:type="paragraph" w:styleId="BalloonText">
    <w:name w:val="Balloon Text"/>
    <w:basedOn w:val="Normal"/>
    <w:semiHidden/>
    <w:rsid w:val="00D5783A"/>
    <w:rPr>
      <w:rFonts w:ascii="Tahoma" w:hAnsi="Tahoma" w:cs="Tahoma"/>
      <w:sz w:val="16"/>
      <w:szCs w:val="16"/>
    </w:rPr>
  </w:style>
  <w:style w:type="table" w:styleId="TableGrid">
    <w:name w:val="Table Grid"/>
    <w:basedOn w:val="TableNormal"/>
    <w:rsid w:val="008364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774</Words>
  <Characters>4040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BID FORM</vt:lpstr>
    </vt:vector>
  </TitlesOfParts>
  <Company>TBR</Company>
  <LinksUpToDate>false</LinksUpToDate>
  <CharactersWithSpaces>4805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FORM</dc:title>
  <dc:creator>H. Keith J. Robinson</dc:creator>
  <cp:lastModifiedBy>Jamie Brewer</cp:lastModifiedBy>
  <cp:revision>2</cp:revision>
  <cp:lastPrinted>2016-04-13T16:46:00Z</cp:lastPrinted>
  <dcterms:created xsi:type="dcterms:W3CDTF">2017-12-19T22:14:00Z</dcterms:created>
  <dcterms:modified xsi:type="dcterms:W3CDTF">2017-12-19T22:14:00Z</dcterms:modified>
</cp:coreProperties>
</file>