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655E70" w:rsidP="000D09DE">
      <w:pPr>
        <w:tabs>
          <w:tab w:val="left" w:pos="0"/>
        </w:tabs>
        <w:jc w:val="center"/>
        <w:rPr>
          <w:rFonts w:asciiTheme="minorHAnsi" w:hAnsiTheme="minorHAnsi"/>
          <w:bCs/>
          <w:color w:val="002060"/>
          <w:sz w:val="36"/>
        </w:rPr>
      </w:pPr>
      <w:r>
        <w:rPr>
          <w:rFonts w:asciiTheme="minorHAnsi" w:hAnsiTheme="minorHAnsi"/>
          <w:bCs/>
          <w:color w:val="002060"/>
          <w:sz w:val="28"/>
        </w:rPr>
        <w:t xml:space="preserve">December </w:t>
      </w:r>
      <w:r w:rsidR="00D97B8B">
        <w:rPr>
          <w:rFonts w:asciiTheme="minorHAnsi" w:hAnsiTheme="minorHAnsi"/>
          <w:bCs/>
          <w:color w:val="002060"/>
          <w:sz w:val="28"/>
        </w:rPr>
        <w:t>5</w:t>
      </w:r>
      <w:r>
        <w:rPr>
          <w:rFonts w:asciiTheme="minorHAnsi" w:hAnsiTheme="minorHAnsi"/>
          <w:bCs/>
          <w:color w:val="002060"/>
          <w:sz w:val="28"/>
        </w:rPr>
        <w:t xml:space="preserve">,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144092">
        <w:rPr>
          <w:rFonts w:asciiTheme="minorHAnsi" w:hAnsiTheme="minorHAnsi"/>
          <w:bCs/>
          <w:color w:val="002060"/>
          <w:sz w:val="28"/>
        </w:rPr>
        <w:t>4</w:t>
      </w:r>
    </w:p>
    <w:p w:rsidR="0070502B" w:rsidRPr="008A757A" w:rsidRDefault="0070502B">
      <w:pPr>
        <w:rPr>
          <w:rFonts w:asciiTheme="minorHAnsi" w:hAnsiTheme="minorHAnsi"/>
          <w:color w:val="002060"/>
        </w:rPr>
      </w:pPr>
    </w:p>
    <w:p w:rsidR="0070502B"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976A05" w:rsidRPr="008A757A" w:rsidRDefault="00976A05">
      <w:pPr>
        <w:jc w:val="center"/>
        <w:rPr>
          <w:rFonts w:asciiTheme="minorHAnsi" w:hAnsiTheme="minorHAnsi"/>
          <w:b/>
          <w:bCs/>
          <w:color w:val="002060"/>
          <w:sz w:val="28"/>
        </w:rPr>
      </w:pPr>
      <w:r>
        <w:rPr>
          <w:rFonts w:asciiTheme="minorHAnsi" w:hAnsiTheme="minorHAnsi"/>
          <w:b/>
          <w:bCs/>
          <w:color w:val="002060"/>
          <w:sz w:val="28"/>
        </w:rPr>
        <w:t>Jones College of Business</w:t>
      </w:r>
    </w:p>
    <w:p w:rsidR="0070502B" w:rsidRPr="008A757A" w:rsidRDefault="0070502B">
      <w:pPr>
        <w:jc w:val="center"/>
        <w:rPr>
          <w:rFonts w:asciiTheme="minorHAnsi" w:hAnsiTheme="minorHAnsi"/>
          <w:bCs/>
          <w:color w:val="002060"/>
          <w:sz w:val="22"/>
          <w:szCs w:val="22"/>
        </w:rPr>
      </w:pPr>
      <w:r w:rsidRPr="008A757A">
        <w:rPr>
          <w:rFonts w:asciiTheme="minorHAnsi" w:hAnsiTheme="minorHAnsi"/>
          <w:bCs/>
          <w:color w:val="002060"/>
          <w:sz w:val="22"/>
          <w:szCs w:val="22"/>
        </w:rPr>
        <w:t>at Middle Tennessee State University</w:t>
      </w:r>
    </w:p>
    <w:p w:rsidR="0070502B" w:rsidRPr="008A757A" w:rsidRDefault="0070502B" w:rsidP="008A757A">
      <w:pPr>
        <w:jc w:val="center"/>
        <w:rPr>
          <w:rFonts w:asciiTheme="minorHAnsi" w:hAnsiTheme="minorHAnsi"/>
          <w:bCs/>
          <w:color w:val="002060"/>
          <w:sz w:val="22"/>
          <w:szCs w:val="22"/>
        </w:rPr>
      </w:pPr>
      <w:r w:rsidRPr="008A757A">
        <w:rPr>
          <w:rFonts w:asciiTheme="minorHAnsi" w:hAnsiTheme="minorHAnsi"/>
          <w:bCs/>
          <w:color w:val="002060"/>
          <w:sz w:val="22"/>
          <w:szCs w:val="22"/>
        </w:rPr>
        <w:t>Director -- Timothy R. Graeff, Ph.D.</w:t>
      </w:r>
    </w:p>
    <w:p w:rsidR="00135989" w:rsidRPr="008A757A" w:rsidRDefault="00F35FCA" w:rsidP="008A757A">
      <w:pPr>
        <w:jc w:val="center"/>
        <w:rPr>
          <w:rFonts w:asciiTheme="minorHAnsi" w:hAnsiTheme="minorHAnsi"/>
          <w:bCs/>
          <w:i/>
          <w:color w:val="002060"/>
          <w:sz w:val="22"/>
          <w:szCs w:val="22"/>
        </w:rPr>
      </w:pPr>
      <w:hyperlink r:id="rId10" w:history="1">
        <w:r w:rsidR="00FB298B" w:rsidRPr="00FB5698">
          <w:rPr>
            <w:rStyle w:val="Hyperlink"/>
            <w:rFonts w:asciiTheme="minorHAnsi" w:hAnsiTheme="minorHAnsi"/>
            <w:bCs/>
            <w:i/>
            <w:color w:val="002060"/>
            <w:sz w:val="22"/>
            <w:szCs w:val="22"/>
          </w:rPr>
          <w:t>Tim.Graeff@mtsu.edu</w:t>
        </w:r>
      </w:hyperlink>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615-898-5124</w:t>
      </w:r>
    </w:p>
    <w:p w:rsidR="00303944" w:rsidRPr="008A757A" w:rsidRDefault="00303944">
      <w:pPr>
        <w:jc w:val="center"/>
        <w:rPr>
          <w:rFonts w:asciiTheme="minorHAnsi" w:hAnsiTheme="minorHAnsi"/>
          <w:b/>
          <w:bCs/>
          <w:color w:val="002060"/>
        </w:rPr>
      </w:pPr>
    </w:p>
    <w:p w:rsidR="003E1C14" w:rsidRDefault="003E1C14" w:rsidP="007A4C2B">
      <w:pPr>
        <w:jc w:val="center"/>
        <w:rPr>
          <w:rFonts w:asciiTheme="minorHAnsi" w:hAnsiTheme="minorHAnsi"/>
          <w:b/>
          <w:bCs/>
          <w:color w:val="002060"/>
          <w:sz w:val="40"/>
          <w:szCs w:val="40"/>
        </w:rPr>
      </w:pPr>
    </w:p>
    <w:p w:rsidR="00BD7307" w:rsidRPr="00A16353" w:rsidRDefault="008F3A00" w:rsidP="007A4C2B">
      <w:pPr>
        <w:jc w:val="center"/>
        <w:rPr>
          <w:rFonts w:asciiTheme="minorHAnsi" w:hAnsiTheme="minorHAnsi"/>
          <w:bCs/>
        </w:rPr>
      </w:pPr>
      <w:r w:rsidRPr="002F1853">
        <w:rPr>
          <w:rFonts w:asciiTheme="minorHAnsi" w:hAnsiTheme="minorHAnsi"/>
          <w:b/>
          <w:bCs/>
          <w:color w:val="002060"/>
          <w:sz w:val="40"/>
          <w:szCs w:val="40"/>
        </w:rPr>
        <w:t>Consumer</w:t>
      </w:r>
      <w:r w:rsidR="00BD42F4" w:rsidRPr="002F1853">
        <w:rPr>
          <w:rFonts w:asciiTheme="minorHAnsi" w:hAnsiTheme="minorHAnsi"/>
          <w:b/>
          <w:bCs/>
          <w:color w:val="002060"/>
          <w:sz w:val="40"/>
          <w:szCs w:val="40"/>
        </w:rPr>
        <w:t xml:space="preserve"> Outlook </w:t>
      </w:r>
      <w:r w:rsidR="00DC746A">
        <w:rPr>
          <w:rFonts w:asciiTheme="minorHAnsi" w:hAnsiTheme="minorHAnsi"/>
          <w:b/>
          <w:bCs/>
          <w:color w:val="002060"/>
          <w:sz w:val="40"/>
          <w:szCs w:val="40"/>
        </w:rPr>
        <w:t>S</w:t>
      </w:r>
      <w:r w:rsidR="00D97B8B">
        <w:rPr>
          <w:rFonts w:asciiTheme="minorHAnsi" w:hAnsiTheme="minorHAnsi"/>
          <w:b/>
          <w:bCs/>
          <w:color w:val="002060"/>
          <w:sz w:val="40"/>
          <w:szCs w:val="40"/>
        </w:rPr>
        <w:t>urges</w:t>
      </w:r>
      <w:r w:rsidR="00DC746A">
        <w:rPr>
          <w:rFonts w:asciiTheme="minorHAnsi" w:hAnsiTheme="minorHAnsi"/>
          <w:b/>
          <w:bCs/>
          <w:color w:val="002060"/>
          <w:sz w:val="40"/>
          <w:szCs w:val="40"/>
        </w:rPr>
        <w:t xml:space="preserve"> Heading in</w:t>
      </w:r>
      <w:r w:rsidR="00D97B8B">
        <w:rPr>
          <w:rFonts w:asciiTheme="minorHAnsi" w:hAnsiTheme="minorHAnsi"/>
          <w:b/>
          <w:bCs/>
          <w:color w:val="002060"/>
          <w:sz w:val="40"/>
          <w:szCs w:val="40"/>
        </w:rPr>
        <w:t>to</w:t>
      </w:r>
      <w:r w:rsidR="00DC746A">
        <w:rPr>
          <w:rFonts w:asciiTheme="minorHAnsi" w:hAnsiTheme="minorHAnsi"/>
          <w:b/>
          <w:bCs/>
          <w:color w:val="002060"/>
          <w:sz w:val="40"/>
          <w:szCs w:val="40"/>
        </w:rPr>
        <w:t xml:space="preserve"> the Holiday Season</w:t>
      </w:r>
      <w:r w:rsidR="00ED7049"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3E1C14" w:rsidRDefault="003E1C14" w:rsidP="009821BD">
      <w:pPr>
        <w:pStyle w:val="BodyText"/>
        <w:jc w:val="both"/>
        <w:rPr>
          <w:rFonts w:asciiTheme="minorHAnsi" w:hAnsiTheme="minorHAnsi"/>
          <w:bCs/>
        </w:rPr>
      </w:pPr>
    </w:p>
    <w:p w:rsidR="00453C72" w:rsidRDefault="00A0104E" w:rsidP="009821BD">
      <w:pPr>
        <w:pStyle w:val="BodyText"/>
        <w:jc w:val="both"/>
        <w:rPr>
          <w:rFonts w:asciiTheme="minorHAnsi" w:hAnsiTheme="minorHAnsi"/>
          <w:bCs/>
        </w:rPr>
      </w:pPr>
      <w:r>
        <w:rPr>
          <w:rFonts w:asciiTheme="minorHAnsi" w:hAnsiTheme="minorHAnsi"/>
          <w:bCs/>
        </w:rPr>
        <w:t xml:space="preserve">     </w:t>
      </w:r>
      <w:r w:rsidR="009455D8">
        <w:rPr>
          <w:rFonts w:asciiTheme="minorHAnsi" w:hAnsiTheme="minorHAnsi"/>
          <w:bCs/>
        </w:rPr>
        <w:t xml:space="preserve">Good news for local businesses and retailers.  </w:t>
      </w:r>
      <w:r w:rsidR="00D97B8B">
        <w:rPr>
          <w:rFonts w:asciiTheme="minorHAnsi" w:hAnsiTheme="minorHAnsi"/>
          <w:bCs/>
        </w:rPr>
        <w:t>C</w:t>
      </w:r>
      <w:r w:rsidR="00453C72">
        <w:rPr>
          <w:rFonts w:asciiTheme="minorHAnsi" w:hAnsiTheme="minorHAnsi"/>
          <w:bCs/>
        </w:rPr>
        <w:t xml:space="preserve">onsumers </w:t>
      </w:r>
      <w:r w:rsidR="00DC746A">
        <w:rPr>
          <w:rFonts w:asciiTheme="minorHAnsi" w:hAnsiTheme="minorHAnsi"/>
          <w:bCs/>
        </w:rPr>
        <w:t xml:space="preserve">have </w:t>
      </w:r>
      <w:r w:rsidR="009455D8">
        <w:rPr>
          <w:rFonts w:asciiTheme="minorHAnsi" w:hAnsiTheme="minorHAnsi"/>
          <w:bCs/>
        </w:rPr>
        <w:t>become decidedly more upbeat about the local and national econom</w:t>
      </w:r>
      <w:r w:rsidR="009D2ED6">
        <w:rPr>
          <w:rFonts w:asciiTheme="minorHAnsi" w:hAnsiTheme="minorHAnsi"/>
          <w:bCs/>
        </w:rPr>
        <w:t>y</w:t>
      </w:r>
      <w:r w:rsidR="009455D8">
        <w:rPr>
          <w:rFonts w:asciiTheme="minorHAnsi" w:hAnsiTheme="minorHAnsi"/>
          <w:bCs/>
        </w:rPr>
        <w:t>.  T</w:t>
      </w:r>
      <w:r w:rsidR="00453C72">
        <w:rPr>
          <w:rFonts w:asciiTheme="minorHAnsi" w:hAnsiTheme="minorHAnsi"/>
          <w:bCs/>
        </w:rPr>
        <w:t xml:space="preserve">he overall Middle Tennessee Consumer Outlook Index rose to </w:t>
      </w:r>
      <w:r w:rsidR="00DC746A">
        <w:rPr>
          <w:rFonts w:asciiTheme="minorHAnsi" w:hAnsiTheme="minorHAnsi"/>
          <w:bCs/>
        </w:rPr>
        <w:t>329</w:t>
      </w:r>
      <w:r w:rsidR="00453C72">
        <w:rPr>
          <w:rFonts w:asciiTheme="minorHAnsi" w:hAnsiTheme="minorHAnsi"/>
          <w:bCs/>
        </w:rPr>
        <w:t xml:space="preserve"> from </w:t>
      </w:r>
      <w:r w:rsidR="007236D9">
        <w:rPr>
          <w:rFonts w:asciiTheme="minorHAnsi" w:hAnsiTheme="minorHAnsi"/>
          <w:bCs/>
        </w:rPr>
        <w:t>2</w:t>
      </w:r>
      <w:r w:rsidR="00DC746A">
        <w:rPr>
          <w:rFonts w:asciiTheme="minorHAnsi" w:hAnsiTheme="minorHAnsi"/>
          <w:bCs/>
        </w:rPr>
        <w:t>26</w:t>
      </w:r>
      <w:r w:rsidR="00453C72">
        <w:rPr>
          <w:rFonts w:asciiTheme="minorHAnsi" w:hAnsiTheme="minorHAnsi"/>
          <w:bCs/>
        </w:rPr>
        <w:t xml:space="preserve"> in </w:t>
      </w:r>
      <w:r w:rsidR="009D2ED6">
        <w:rPr>
          <w:rFonts w:asciiTheme="minorHAnsi" w:hAnsiTheme="minorHAnsi"/>
          <w:bCs/>
        </w:rPr>
        <w:t xml:space="preserve">September </w:t>
      </w:r>
      <w:r w:rsidR="00453C72">
        <w:rPr>
          <w:rFonts w:asciiTheme="minorHAnsi" w:hAnsiTheme="minorHAnsi"/>
          <w:bCs/>
        </w:rPr>
        <w:t xml:space="preserve">of this year.  </w:t>
      </w:r>
    </w:p>
    <w:p w:rsidR="009455D8" w:rsidRDefault="009455D8" w:rsidP="009821BD">
      <w:pPr>
        <w:pStyle w:val="BodyText"/>
        <w:jc w:val="both"/>
        <w:rPr>
          <w:rFonts w:asciiTheme="minorHAnsi" w:hAnsiTheme="minorHAnsi"/>
          <w:bCs/>
        </w:rPr>
      </w:pPr>
    </w:p>
    <w:p w:rsidR="009455D8" w:rsidRDefault="009455D8" w:rsidP="009455D8">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9455D8" w:rsidRPr="00A16353" w:rsidTr="009455D8">
        <w:trPr>
          <w:trHeight w:val="255"/>
        </w:trPr>
        <w:tc>
          <w:tcPr>
            <w:tcW w:w="1815" w:type="dxa"/>
            <w:shd w:val="clear" w:color="auto" w:fill="B8CCE4" w:themeFill="accent1" w:themeFillTint="66"/>
            <w:noWrap/>
            <w:tcMar>
              <w:top w:w="15" w:type="dxa"/>
              <w:left w:w="15" w:type="dxa"/>
              <w:bottom w:w="0" w:type="dxa"/>
              <w:right w:w="15" w:type="dxa"/>
            </w:tcMar>
            <w:vAlign w:val="bottom"/>
          </w:tcPr>
          <w:p w:rsidR="009455D8" w:rsidRPr="00A16353" w:rsidRDefault="009455D8" w:rsidP="009455D8">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9455D8" w:rsidRPr="008C68FB" w:rsidRDefault="009455D8" w:rsidP="009455D8">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9455D8" w:rsidRPr="002C5F55" w:rsidRDefault="009455D8" w:rsidP="009455D8">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9455D8" w:rsidRPr="004C6631" w:rsidRDefault="009455D8" w:rsidP="009455D8">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9455D8" w:rsidRPr="0082033A" w:rsidRDefault="009455D8" w:rsidP="009455D8">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9455D8" w:rsidRPr="00985C05" w:rsidRDefault="009455D8" w:rsidP="009455D8">
            <w:pPr>
              <w:jc w:val="center"/>
              <w:rPr>
                <w:rFonts w:asciiTheme="minorHAnsi" w:hAnsiTheme="minorHAnsi"/>
                <w:bCs/>
                <w:sz w:val="24"/>
                <w:szCs w:val="24"/>
              </w:rPr>
            </w:pPr>
            <w:r w:rsidRPr="00985C05">
              <w:rPr>
                <w:rFonts w:asciiTheme="minorHAnsi" w:hAnsiTheme="minorHAnsi"/>
                <w:bCs/>
                <w:sz w:val="24"/>
                <w:szCs w:val="24"/>
              </w:rPr>
              <w:t>Apr ‘13</w:t>
            </w:r>
          </w:p>
        </w:tc>
        <w:tc>
          <w:tcPr>
            <w:tcW w:w="630" w:type="dxa"/>
            <w:shd w:val="clear" w:color="auto" w:fill="B8CCE4" w:themeFill="accent1" w:themeFillTint="66"/>
          </w:tcPr>
          <w:p w:rsidR="009455D8" w:rsidRPr="00692E24" w:rsidRDefault="009455D8" w:rsidP="009455D8">
            <w:pPr>
              <w:jc w:val="center"/>
              <w:rPr>
                <w:rFonts w:asciiTheme="minorHAnsi" w:hAnsiTheme="minorHAnsi"/>
                <w:bCs/>
                <w:sz w:val="24"/>
                <w:szCs w:val="24"/>
              </w:rPr>
            </w:pPr>
            <w:r w:rsidRPr="00692E24">
              <w:rPr>
                <w:rFonts w:asciiTheme="minorHAnsi" w:hAnsiTheme="minorHAnsi"/>
                <w:bCs/>
                <w:sz w:val="24"/>
                <w:szCs w:val="24"/>
              </w:rPr>
              <w:t>Sept</w:t>
            </w:r>
          </w:p>
          <w:p w:rsidR="009455D8" w:rsidRPr="00692E24" w:rsidRDefault="009455D8" w:rsidP="009455D8">
            <w:pPr>
              <w:jc w:val="center"/>
              <w:rPr>
                <w:rFonts w:asciiTheme="minorHAnsi" w:hAnsiTheme="minorHAnsi"/>
                <w:bCs/>
                <w:sz w:val="24"/>
                <w:szCs w:val="24"/>
              </w:rPr>
            </w:pPr>
            <w:r w:rsidRPr="00692E24">
              <w:rPr>
                <w:rFonts w:asciiTheme="minorHAnsi" w:hAnsiTheme="minorHAnsi"/>
                <w:bCs/>
                <w:sz w:val="24"/>
                <w:szCs w:val="24"/>
              </w:rPr>
              <w:t>‘13</w:t>
            </w:r>
          </w:p>
        </w:tc>
        <w:tc>
          <w:tcPr>
            <w:tcW w:w="630" w:type="dxa"/>
            <w:shd w:val="clear" w:color="auto" w:fill="B8CCE4" w:themeFill="accent1" w:themeFillTint="66"/>
          </w:tcPr>
          <w:p w:rsidR="009455D8" w:rsidRPr="00144092" w:rsidRDefault="009455D8" w:rsidP="009455D8">
            <w:pPr>
              <w:jc w:val="center"/>
              <w:rPr>
                <w:rFonts w:asciiTheme="minorHAnsi" w:hAnsiTheme="minorHAnsi"/>
                <w:bCs/>
                <w:sz w:val="24"/>
                <w:szCs w:val="24"/>
              </w:rPr>
            </w:pPr>
            <w:r w:rsidRPr="00144092">
              <w:rPr>
                <w:rFonts w:asciiTheme="minorHAnsi" w:hAnsiTheme="minorHAnsi"/>
                <w:bCs/>
                <w:sz w:val="24"/>
                <w:szCs w:val="24"/>
              </w:rPr>
              <w:t>Dec ‘13</w:t>
            </w:r>
          </w:p>
        </w:tc>
        <w:tc>
          <w:tcPr>
            <w:tcW w:w="630" w:type="dxa"/>
            <w:shd w:val="clear" w:color="auto" w:fill="B8CCE4" w:themeFill="accent1" w:themeFillTint="66"/>
          </w:tcPr>
          <w:p w:rsidR="009455D8" w:rsidRPr="00D33CDC" w:rsidRDefault="009455D8" w:rsidP="009455D8">
            <w:pPr>
              <w:jc w:val="center"/>
              <w:rPr>
                <w:rFonts w:asciiTheme="minorHAnsi" w:hAnsiTheme="minorHAnsi"/>
                <w:bCs/>
                <w:sz w:val="24"/>
                <w:szCs w:val="24"/>
              </w:rPr>
            </w:pPr>
            <w:r w:rsidRPr="00D33CDC">
              <w:rPr>
                <w:rFonts w:asciiTheme="minorHAnsi" w:hAnsiTheme="minorHAnsi"/>
                <w:bCs/>
                <w:sz w:val="24"/>
                <w:szCs w:val="24"/>
              </w:rPr>
              <w:t>Feb ‘14</w:t>
            </w:r>
          </w:p>
        </w:tc>
        <w:tc>
          <w:tcPr>
            <w:tcW w:w="630" w:type="dxa"/>
            <w:shd w:val="clear" w:color="auto" w:fill="B8CCE4" w:themeFill="accent1" w:themeFillTint="66"/>
          </w:tcPr>
          <w:p w:rsidR="009455D8" w:rsidRPr="00F863C8" w:rsidRDefault="009455D8" w:rsidP="009455D8">
            <w:pPr>
              <w:jc w:val="center"/>
              <w:rPr>
                <w:rFonts w:asciiTheme="minorHAnsi" w:hAnsiTheme="minorHAnsi"/>
                <w:bCs/>
                <w:sz w:val="24"/>
                <w:szCs w:val="24"/>
              </w:rPr>
            </w:pPr>
            <w:r w:rsidRPr="00F863C8">
              <w:rPr>
                <w:rFonts w:asciiTheme="minorHAnsi" w:hAnsiTheme="minorHAnsi"/>
                <w:bCs/>
                <w:sz w:val="24"/>
                <w:szCs w:val="24"/>
              </w:rPr>
              <w:t>May ‘14</w:t>
            </w:r>
          </w:p>
        </w:tc>
        <w:tc>
          <w:tcPr>
            <w:tcW w:w="630" w:type="dxa"/>
            <w:shd w:val="clear" w:color="auto" w:fill="B8CCE4" w:themeFill="accent1" w:themeFillTint="66"/>
          </w:tcPr>
          <w:p w:rsidR="009455D8" w:rsidRPr="009D2ED6" w:rsidRDefault="009455D8" w:rsidP="009455D8">
            <w:pPr>
              <w:jc w:val="center"/>
              <w:rPr>
                <w:rFonts w:asciiTheme="minorHAnsi" w:hAnsiTheme="minorHAnsi"/>
                <w:bCs/>
                <w:sz w:val="24"/>
                <w:szCs w:val="24"/>
              </w:rPr>
            </w:pPr>
            <w:r w:rsidRPr="009D2ED6">
              <w:rPr>
                <w:rFonts w:asciiTheme="minorHAnsi" w:hAnsiTheme="minorHAnsi"/>
                <w:bCs/>
                <w:sz w:val="24"/>
                <w:szCs w:val="24"/>
              </w:rPr>
              <w:t>Sep ‘14</w:t>
            </w:r>
          </w:p>
        </w:tc>
        <w:tc>
          <w:tcPr>
            <w:tcW w:w="630" w:type="dxa"/>
            <w:shd w:val="clear" w:color="auto" w:fill="B8CCE4" w:themeFill="accent1" w:themeFillTint="66"/>
          </w:tcPr>
          <w:p w:rsidR="009455D8" w:rsidRPr="009D2ED6" w:rsidRDefault="009455D8" w:rsidP="009455D8">
            <w:pPr>
              <w:jc w:val="center"/>
              <w:rPr>
                <w:rFonts w:asciiTheme="minorHAnsi" w:hAnsiTheme="minorHAnsi"/>
                <w:b/>
                <w:bCs/>
                <w:color w:val="FF0000"/>
                <w:sz w:val="24"/>
                <w:szCs w:val="24"/>
              </w:rPr>
            </w:pPr>
            <w:r w:rsidRPr="009D2ED6">
              <w:rPr>
                <w:rFonts w:asciiTheme="minorHAnsi" w:hAnsiTheme="minorHAnsi"/>
                <w:b/>
                <w:bCs/>
                <w:color w:val="FF0000"/>
                <w:sz w:val="24"/>
                <w:szCs w:val="24"/>
              </w:rPr>
              <w:t>Dec</w:t>
            </w:r>
          </w:p>
          <w:p w:rsidR="009455D8" w:rsidRPr="009D2ED6" w:rsidRDefault="009455D8" w:rsidP="009455D8">
            <w:pPr>
              <w:jc w:val="center"/>
              <w:rPr>
                <w:rFonts w:asciiTheme="minorHAnsi" w:hAnsiTheme="minorHAnsi"/>
                <w:b/>
                <w:bCs/>
                <w:color w:val="FF0000"/>
                <w:sz w:val="24"/>
                <w:szCs w:val="24"/>
              </w:rPr>
            </w:pPr>
            <w:r w:rsidRPr="009D2ED6">
              <w:rPr>
                <w:rFonts w:asciiTheme="minorHAnsi" w:hAnsiTheme="minorHAnsi"/>
                <w:b/>
                <w:bCs/>
                <w:color w:val="FF0000"/>
                <w:sz w:val="24"/>
                <w:szCs w:val="24"/>
              </w:rPr>
              <w:t>‘14</w:t>
            </w:r>
          </w:p>
        </w:tc>
      </w:tr>
      <w:tr w:rsidR="009455D8" w:rsidRPr="00A16353" w:rsidTr="009455D8">
        <w:trPr>
          <w:trHeight w:val="255"/>
        </w:trPr>
        <w:tc>
          <w:tcPr>
            <w:tcW w:w="1815" w:type="dxa"/>
            <w:noWrap/>
            <w:tcMar>
              <w:top w:w="15" w:type="dxa"/>
              <w:left w:w="15" w:type="dxa"/>
              <w:bottom w:w="0" w:type="dxa"/>
              <w:right w:w="15" w:type="dxa"/>
            </w:tcMar>
            <w:vAlign w:val="center"/>
          </w:tcPr>
          <w:p w:rsidR="009455D8" w:rsidRPr="00A16353" w:rsidRDefault="009455D8" w:rsidP="009455D8">
            <w:pPr>
              <w:rPr>
                <w:rFonts w:asciiTheme="minorHAnsi" w:eastAsia="Arial Unicode MS" w:hAnsiTheme="minorHAnsi"/>
                <w:sz w:val="16"/>
                <w:szCs w:val="16"/>
              </w:rPr>
            </w:pPr>
            <w:r>
              <w:rPr>
                <w:rFonts w:asciiTheme="minorHAnsi" w:eastAsia="Arial Unicode MS" w:hAnsiTheme="minorHAnsi"/>
                <w:sz w:val="16"/>
                <w:szCs w:val="16"/>
              </w:rPr>
              <w:t>Overall Outlook Index</w:t>
            </w:r>
          </w:p>
        </w:tc>
        <w:tc>
          <w:tcPr>
            <w:tcW w:w="630" w:type="dxa"/>
          </w:tcPr>
          <w:p w:rsidR="009455D8" w:rsidRPr="008C68FB" w:rsidRDefault="009455D8" w:rsidP="009455D8">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9455D8" w:rsidRPr="002C5F55" w:rsidRDefault="009455D8" w:rsidP="009455D8">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9455D8" w:rsidRPr="004C6631" w:rsidRDefault="009455D8" w:rsidP="009455D8">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9455D8" w:rsidRPr="0082033A" w:rsidRDefault="009455D8" w:rsidP="009455D8">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9455D8" w:rsidRPr="00985C05" w:rsidRDefault="009455D8" w:rsidP="009455D8">
            <w:pPr>
              <w:jc w:val="center"/>
              <w:rPr>
                <w:rFonts w:asciiTheme="minorHAnsi" w:hAnsiTheme="minorHAnsi"/>
                <w:bCs/>
                <w:sz w:val="24"/>
                <w:szCs w:val="24"/>
              </w:rPr>
            </w:pPr>
            <w:r w:rsidRPr="00985C05">
              <w:rPr>
                <w:rFonts w:asciiTheme="minorHAnsi" w:hAnsiTheme="minorHAnsi"/>
                <w:bCs/>
                <w:sz w:val="24"/>
                <w:szCs w:val="24"/>
              </w:rPr>
              <w:t>193</w:t>
            </w:r>
          </w:p>
        </w:tc>
        <w:tc>
          <w:tcPr>
            <w:tcW w:w="630" w:type="dxa"/>
          </w:tcPr>
          <w:p w:rsidR="009455D8" w:rsidRPr="00692E24" w:rsidRDefault="009455D8" w:rsidP="009455D8">
            <w:pPr>
              <w:jc w:val="center"/>
              <w:rPr>
                <w:rFonts w:asciiTheme="minorHAnsi" w:hAnsiTheme="minorHAnsi"/>
                <w:bCs/>
                <w:sz w:val="24"/>
                <w:szCs w:val="24"/>
              </w:rPr>
            </w:pPr>
            <w:r w:rsidRPr="00692E24">
              <w:rPr>
                <w:rFonts w:asciiTheme="minorHAnsi" w:hAnsiTheme="minorHAnsi"/>
                <w:bCs/>
                <w:sz w:val="24"/>
                <w:szCs w:val="24"/>
              </w:rPr>
              <w:t>199</w:t>
            </w:r>
          </w:p>
        </w:tc>
        <w:tc>
          <w:tcPr>
            <w:tcW w:w="630" w:type="dxa"/>
          </w:tcPr>
          <w:p w:rsidR="009455D8" w:rsidRPr="00144092" w:rsidRDefault="009455D8" w:rsidP="009455D8">
            <w:pPr>
              <w:jc w:val="center"/>
              <w:rPr>
                <w:rFonts w:asciiTheme="minorHAnsi" w:hAnsiTheme="minorHAnsi"/>
                <w:bCs/>
                <w:sz w:val="24"/>
                <w:szCs w:val="24"/>
              </w:rPr>
            </w:pPr>
            <w:r w:rsidRPr="00144092">
              <w:rPr>
                <w:rFonts w:asciiTheme="minorHAnsi" w:hAnsiTheme="minorHAnsi"/>
                <w:bCs/>
                <w:sz w:val="24"/>
                <w:szCs w:val="24"/>
              </w:rPr>
              <w:t>122</w:t>
            </w:r>
          </w:p>
        </w:tc>
        <w:tc>
          <w:tcPr>
            <w:tcW w:w="630" w:type="dxa"/>
          </w:tcPr>
          <w:p w:rsidR="009455D8" w:rsidRPr="00D33CDC" w:rsidRDefault="009455D8" w:rsidP="009455D8">
            <w:pPr>
              <w:jc w:val="center"/>
              <w:rPr>
                <w:rFonts w:asciiTheme="minorHAnsi" w:hAnsiTheme="minorHAnsi"/>
                <w:bCs/>
                <w:sz w:val="24"/>
                <w:szCs w:val="24"/>
              </w:rPr>
            </w:pPr>
            <w:r w:rsidRPr="00D33CDC">
              <w:rPr>
                <w:rFonts w:asciiTheme="minorHAnsi" w:hAnsiTheme="minorHAnsi"/>
                <w:bCs/>
                <w:sz w:val="24"/>
                <w:szCs w:val="24"/>
              </w:rPr>
              <w:t>179</w:t>
            </w:r>
          </w:p>
        </w:tc>
        <w:tc>
          <w:tcPr>
            <w:tcW w:w="630" w:type="dxa"/>
          </w:tcPr>
          <w:p w:rsidR="009455D8" w:rsidRPr="00F863C8" w:rsidRDefault="009455D8" w:rsidP="009455D8">
            <w:pPr>
              <w:jc w:val="center"/>
              <w:rPr>
                <w:rFonts w:asciiTheme="minorHAnsi" w:hAnsiTheme="minorHAnsi"/>
                <w:bCs/>
                <w:sz w:val="24"/>
                <w:szCs w:val="24"/>
              </w:rPr>
            </w:pPr>
            <w:r w:rsidRPr="00F863C8">
              <w:rPr>
                <w:rFonts w:asciiTheme="minorHAnsi" w:hAnsiTheme="minorHAnsi"/>
                <w:bCs/>
                <w:sz w:val="24"/>
                <w:szCs w:val="24"/>
              </w:rPr>
              <w:t>203</w:t>
            </w:r>
          </w:p>
        </w:tc>
        <w:tc>
          <w:tcPr>
            <w:tcW w:w="630" w:type="dxa"/>
          </w:tcPr>
          <w:p w:rsidR="009455D8" w:rsidRPr="009D2ED6" w:rsidRDefault="009455D8" w:rsidP="009455D8">
            <w:pPr>
              <w:jc w:val="center"/>
              <w:rPr>
                <w:rFonts w:asciiTheme="minorHAnsi" w:hAnsiTheme="minorHAnsi"/>
                <w:bCs/>
                <w:sz w:val="24"/>
                <w:szCs w:val="24"/>
              </w:rPr>
            </w:pPr>
            <w:r w:rsidRPr="009D2ED6">
              <w:rPr>
                <w:rFonts w:asciiTheme="minorHAnsi" w:hAnsiTheme="minorHAnsi"/>
                <w:bCs/>
                <w:sz w:val="24"/>
                <w:szCs w:val="24"/>
              </w:rPr>
              <w:t>226</w:t>
            </w:r>
          </w:p>
        </w:tc>
        <w:tc>
          <w:tcPr>
            <w:tcW w:w="630" w:type="dxa"/>
          </w:tcPr>
          <w:p w:rsidR="009455D8" w:rsidRPr="009D2ED6" w:rsidRDefault="009455D8" w:rsidP="009455D8">
            <w:pPr>
              <w:jc w:val="center"/>
              <w:rPr>
                <w:rFonts w:asciiTheme="minorHAnsi" w:hAnsiTheme="minorHAnsi"/>
                <w:b/>
                <w:bCs/>
                <w:color w:val="FF0000"/>
                <w:sz w:val="24"/>
                <w:szCs w:val="24"/>
              </w:rPr>
            </w:pPr>
            <w:r w:rsidRPr="009D2ED6">
              <w:rPr>
                <w:rFonts w:asciiTheme="minorHAnsi" w:hAnsiTheme="minorHAnsi"/>
                <w:b/>
                <w:bCs/>
                <w:color w:val="FF0000"/>
                <w:sz w:val="24"/>
                <w:szCs w:val="24"/>
              </w:rPr>
              <w:t>329</w:t>
            </w:r>
            <w:r w:rsidRPr="009D2ED6">
              <w:rPr>
                <w:rStyle w:val="FootnoteReference"/>
                <w:rFonts w:asciiTheme="minorHAnsi" w:hAnsiTheme="minorHAnsi"/>
                <w:b/>
                <w:color w:val="FF0000"/>
                <w:sz w:val="24"/>
                <w:szCs w:val="24"/>
              </w:rPr>
              <w:footnoteReference w:id="1"/>
            </w:r>
          </w:p>
        </w:tc>
      </w:tr>
      <w:tr w:rsidR="009455D8" w:rsidRPr="00A16353" w:rsidTr="009455D8">
        <w:trPr>
          <w:trHeight w:val="255"/>
        </w:trPr>
        <w:tc>
          <w:tcPr>
            <w:tcW w:w="1815" w:type="dxa"/>
            <w:noWrap/>
            <w:tcMar>
              <w:top w:w="15" w:type="dxa"/>
              <w:left w:w="15" w:type="dxa"/>
              <w:bottom w:w="0" w:type="dxa"/>
              <w:right w:w="15" w:type="dxa"/>
            </w:tcMar>
            <w:vAlign w:val="center"/>
          </w:tcPr>
          <w:p w:rsidR="009455D8" w:rsidRPr="00A16353" w:rsidRDefault="009455D8" w:rsidP="009455D8">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9455D8" w:rsidRPr="008C68FB" w:rsidRDefault="009455D8" w:rsidP="009455D8">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9455D8" w:rsidRPr="002C5F55" w:rsidRDefault="009455D8" w:rsidP="009455D8">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9455D8" w:rsidRPr="004C6631" w:rsidRDefault="009455D8" w:rsidP="009455D8">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9455D8" w:rsidRPr="0082033A" w:rsidRDefault="009455D8" w:rsidP="009455D8">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9455D8" w:rsidRPr="00985C05" w:rsidRDefault="009455D8" w:rsidP="009455D8">
            <w:pPr>
              <w:jc w:val="center"/>
              <w:rPr>
                <w:rFonts w:asciiTheme="minorHAnsi" w:hAnsiTheme="minorHAnsi"/>
                <w:bCs/>
                <w:sz w:val="24"/>
                <w:szCs w:val="24"/>
              </w:rPr>
            </w:pPr>
            <w:r w:rsidRPr="00985C05">
              <w:rPr>
                <w:rFonts w:asciiTheme="minorHAnsi" w:hAnsiTheme="minorHAnsi"/>
                <w:bCs/>
                <w:sz w:val="24"/>
                <w:szCs w:val="24"/>
              </w:rPr>
              <w:t>1</w:t>
            </w:r>
          </w:p>
        </w:tc>
        <w:tc>
          <w:tcPr>
            <w:tcW w:w="630" w:type="dxa"/>
          </w:tcPr>
          <w:p w:rsidR="009455D8" w:rsidRPr="00692E24" w:rsidRDefault="009455D8" w:rsidP="009455D8">
            <w:pPr>
              <w:jc w:val="center"/>
              <w:rPr>
                <w:rFonts w:asciiTheme="minorHAnsi" w:hAnsiTheme="minorHAnsi"/>
                <w:bCs/>
                <w:sz w:val="24"/>
                <w:szCs w:val="24"/>
              </w:rPr>
            </w:pPr>
            <w:r w:rsidRPr="00692E24">
              <w:rPr>
                <w:rFonts w:asciiTheme="minorHAnsi" w:hAnsiTheme="minorHAnsi"/>
                <w:bCs/>
                <w:sz w:val="24"/>
                <w:szCs w:val="24"/>
              </w:rPr>
              <w:t>18</w:t>
            </w:r>
          </w:p>
        </w:tc>
        <w:tc>
          <w:tcPr>
            <w:tcW w:w="630" w:type="dxa"/>
          </w:tcPr>
          <w:p w:rsidR="009455D8" w:rsidRPr="00144092" w:rsidRDefault="009455D8" w:rsidP="009455D8">
            <w:pPr>
              <w:jc w:val="center"/>
              <w:rPr>
                <w:rFonts w:asciiTheme="minorHAnsi" w:hAnsiTheme="minorHAnsi"/>
                <w:bCs/>
                <w:sz w:val="24"/>
                <w:szCs w:val="24"/>
              </w:rPr>
            </w:pPr>
            <w:r w:rsidRPr="00144092">
              <w:rPr>
                <w:rFonts w:asciiTheme="minorHAnsi" w:hAnsiTheme="minorHAnsi"/>
                <w:bCs/>
                <w:sz w:val="24"/>
                <w:szCs w:val="24"/>
              </w:rPr>
              <w:t>3</w:t>
            </w:r>
          </w:p>
        </w:tc>
        <w:tc>
          <w:tcPr>
            <w:tcW w:w="630" w:type="dxa"/>
          </w:tcPr>
          <w:p w:rsidR="009455D8" w:rsidRPr="00D33CDC" w:rsidRDefault="009455D8" w:rsidP="009455D8">
            <w:pPr>
              <w:jc w:val="center"/>
              <w:rPr>
                <w:rFonts w:asciiTheme="minorHAnsi" w:hAnsiTheme="minorHAnsi"/>
                <w:bCs/>
                <w:sz w:val="24"/>
                <w:szCs w:val="24"/>
              </w:rPr>
            </w:pPr>
            <w:r w:rsidRPr="00D33CDC">
              <w:rPr>
                <w:rFonts w:asciiTheme="minorHAnsi" w:hAnsiTheme="minorHAnsi"/>
                <w:bCs/>
                <w:sz w:val="24"/>
                <w:szCs w:val="24"/>
              </w:rPr>
              <w:t>23</w:t>
            </w:r>
          </w:p>
        </w:tc>
        <w:tc>
          <w:tcPr>
            <w:tcW w:w="630" w:type="dxa"/>
          </w:tcPr>
          <w:p w:rsidR="009455D8" w:rsidRPr="00F863C8" w:rsidRDefault="009455D8" w:rsidP="009455D8">
            <w:pPr>
              <w:jc w:val="center"/>
              <w:rPr>
                <w:rFonts w:asciiTheme="minorHAnsi" w:hAnsiTheme="minorHAnsi"/>
                <w:bCs/>
                <w:sz w:val="24"/>
                <w:szCs w:val="24"/>
              </w:rPr>
            </w:pPr>
            <w:r w:rsidRPr="00F863C8">
              <w:rPr>
                <w:rFonts w:asciiTheme="minorHAnsi" w:hAnsiTheme="minorHAnsi"/>
                <w:bCs/>
                <w:sz w:val="24"/>
                <w:szCs w:val="24"/>
              </w:rPr>
              <w:t>38</w:t>
            </w:r>
          </w:p>
        </w:tc>
        <w:tc>
          <w:tcPr>
            <w:tcW w:w="630" w:type="dxa"/>
          </w:tcPr>
          <w:p w:rsidR="009455D8" w:rsidRPr="009D2ED6" w:rsidRDefault="009455D8" w:rsidP="009455D8">
            <w:pPr>
              <w:jc w:val="center"/>
              <w:rPr>
                <w:rFonts w:asciiTheme="minorHAnsi" w:hAnsiTheme="minorHAnsi"/>
                <w:bCs/>
                <w:sz w:val="24"/>
                <w:szCs w:val="24"/>
              </w:rPr>
            </w:pPr>
            <w:r w:rsidRPr="009D2ED6">
              <w:rPr>
                <w:rFonts w:asciiTheme="minorHAnsi" w:hAnsiTheme="minorHAnsi"/>
                <w:bCs/>
                <w:sz w:val="24"/>
                <w:szCs w:val="24"/>
              </w:rPr>
              <w:t>48</w:t>
            </w:r>
          </w:p>
        </w:tc>
        <w:tc>
          <w:tcPr>
            <w:tcW w:w="630" w:type="dxa"/>
          </w:tcPr>
          <w:p w:rsidR="009455D8" w:rsidRPr="009D2ED6" w:rsidRDefault="009455D8" w:rsidP="009455D8">
            <w:pPr>
              <w:jc w:val="center"/>
              <w:rPr>
                <w:rFonts w:asciiTheme="minorHAnsi" w:hAnsiTheme="minorHAnsi"/>
                <w:b/>
                <w:bCs/>
                <w:color w:val="FF0000"/>
                <w:sz w:val="24"/>
                <w:szCs w:val="24"/>
              </w:rPr>
            </w:pPr>
            <w:r w:rsidRPr="009D2ED6">
              <w:rPr>
                <w:rFonts w:asciiTheme="minorHAnsi" w:hAnsiTheme="minorHAnsi"/>
                <w:b/>
                <w:bCs/>
                <w:color w:val="FF0000"/>
                <w:sz w:val="24"/>
                <w:szCs w:val="24"/>
              </w:rPr>
              <w:t>77</w:t>
            </w:r>
          </w:p>
        </w:tc>
      </w:tr>
      <w:tr w:rsidR="009455D8" w:rsidRPr="00A16353" w:rsidTr="009455D8">
        <w:trPr>
          <w:trHeight w:val="255"/>
        </w:trPr>
        <w:tc>
          <w:tcPr>
            <w:tcW w:w="1815" w:type="dxa"/>
            <w:noWrap/>
            <w:tcMar>
              <w:top w:w="15" w:type="dxa"/>
              <w:left w:w="15" w:type="dxa"/>
              <w:bottom w:w="0" w:type="dxa"/>
              <w:right w:w="15" w:type="dxa"/>
            </w:tcMar>
            <w:vAlign w:val="center"/>
          </w:tcPr>
          <w:p w:rsidR="009455D8" w:rsidRPr="00A16353" w:rsidRDefault="009455D8" w:rsidP="009455D8">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9455D8" w:rsidRPr="008C68FB" w:rsidRDefault="009455D8" w:rsidP="009455D8">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9455D8" w:rsidRPr="002C5F55" w:rsidRDefault="009455D8" w:rsidP="009455D8">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9455D8" w:rsidRPr="004C6631" w:rsidRDefault="009455D8" w:rsidP="009455D8">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9455D8" w:rsidRPr="0082033A" w:rsidRDefault="009455D8" w:rsidP="009455D8">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9455D8" w:rsidRPr="00985C05" w:rsidRDefault="009455D8" w:rsidP="009455D8">
            <w:pPr>
              <w:jc w:val="center"/>
              <w:rPr>
                <w:rFonts w:asciiTheme="minorHAnsi" w:hAnsiTheme="minorHAnsi"/>
                <w:bCs/>
                <w:sz w:val="24"/>
                <w:szCs w:val="24"/>
              </w:rPr>
            </w:pPr>
            <w:r w:rsidRPr="00985C05">
              <w:rPr>
                <w:rFonts w:asciiTheme="minorHAnsi" w:hAnsiTheme="minorHAnsi"/>
                <w:bCs/>
                <w:sz w:val="24"/>
                <w:szCs w:val="24"/>
              </w:rPr>
              <w:t>97</w:t>
            </w:r>
          </w:p>
        </w:tc>
        <w:tc>
          <w:tcPr>
            <w:tcW w:w="630" w:type="dxa"/>
          </w:tcPr>
          <w:p w:rsidR="009455D8" w:rsidRPr="00692E24" w:rsidRDefault="009455D8" w:rsidP="009455D8">
            <w:pPr>
              <w:jc w:val="center"/>
              <w:rPr>
                <w:rFonts w:asciiTheme="minorHAnsi" w:hAnsiTheme="minorHAnsi"/>
                <w:bCs/>
                <w:sz w:val="24"/>
                <w:szCs w:val="24"/>
              </w:rPr>
            </w:pPr>
            <w:r w:rsidRPr="00692E24">
              <w:rPr>
                <w:rFonts w:asciiTheme="minorHAnsi" w:hAnsiTheme="minorHAnsi"/>
                <w:bCs/>
                <w:sz w:val="24"/>
                <w:szCs w:val="24"/>
              </w:rPr>
              <w:t>86</w:t>
            </w:r>
          </w:p>
        </w:tc>
        <w:tc>
          <w:tcPr>
            <w:tcW w:w="630" w:type="dxa"/>
          </w:tcPr>
          <w:p w:rsidR="009455D8" w:rsidRPr="00144092" w:rsidRDefault="009455D8" w:rsidP="009455D8">
            <w:pPr>
              <w:jc w:val="center"/>
              <w:rPr>
                <w:rFonts w:asciiTheme="minorHAnsi" w:hAnsiTheme="minorHAnsi"/>
                <w:bCs/>
                <w:sz w:val="24"/>
                <w:szCs w:val="24"/>
              </w:rPr>
            </w:pPr>
            <w:r w:rsidRPr="00144092">
              <w:rPr>
                <w:rFonts w:asciiTheme="minorHAnsi" w:hAnsiTheme="minorHAnsi"/>
                <w:bCs/>
                <w:sz w:val="24"/>
                <w:szCs w:val="24"/>
              </w:rPr>
              <w:t>49</w:t>
            </w:r>
          </w:p>
        </w:tc>
        <w:tc>
          <w:tcPr>
            <w:tcW w:w="630" w:type="dxa"/>
          </w:tcPr>
          <w:p w:rsidR="009455D8" w:rsidRPr="00D33CDC" w:rsidRDefault="009455D8" w:rsidP="009455D8">
            <w:pPr>
              <w:jc w:val="center"/>
              <w:rPr>
                <w:rFonts w:asciiTheme="minorHAnsi" w:hAnsiTheme="minorHAnsi"/>
                <w:bCs/>
                <w:sz w:val="24"/>
                <w:szCs w:val="24"/>
              </w:rPr>
            </w:pPr>
            <w:r w:rsidRPr="00D33CDC">
              <w:rPr>
                <w:rFonts w:asciiTheme="minorHAnsi" w:hAnsiTheme="minorHAnsi"/>
                <w:bCs/>
                <w:sz w:val="24"/>
                <w:szCs w:val="24"/>
              </w:rPr>
              <w:t>85</w:t>
            </w:r>
          </w:p>
        </w:tc>
        <w:tc>
          <w:tcPr>
            <w:tcW w:w="630" w:type="dxa"/>
          </w:tcPr>
          <w:p w:rsidR="009455D8" w:rsidRPr="00F863C8" w:rsidRDefault="009455D8" w:rsidP="009455D8">
            <w:pPr>
              <w:jc w:val="center"/>
              <w:rPr>
                <w:rFonts w:asciiTheme="minorHAnsi" w:hAnsiTheme="minorHAnsi"/>
                <w:bCs/>
                <w:sz w:val="24"/>
                <w:szCs w:val="24"/>
              </w:rPr>
            </w:pPr>
            <w:r w:rsidRPr="00F863C8">
              <w:rPr>
                <w:rFonts w:asciiTheme="minorHAnsi" w:hAnsiTheme="minorHAnsi"/>
                <w:bCs/>
                <w:sz w:val="24"/>
                <w:szCs w:val="24"/>
              </w:rPr>
              <w:t>86</w:t>
            </w:r>
          </w:p>
        </w:tc>
        <w:tc>
          <w:tcPr>
            <w:tcW w:w="630" w:type="dxa"/>
          </w:tcPr>
          <w:p w:rsidR="009455D8" w:rsidRPr="009D2ED6" w:rsidRDefault="009455D8" w:rsidP="009455D8">
            <w:pPr>
              <w:jc w:val="center"/>
              <w:rPr>
                <w:rFonts w:asciiTheme="minorHAnsi" w:hAnsiTheme="minorHAnsi"/>
                <w:bCs/>
                <w:sz w:val="24"/>
                <w:szCs w:val="24"/>
              </w:rPr>
            </w:pPr>
            <w:r w:rsidRPr="009D2ED6">
              <w:rPr>
                <w:rFonts w:asciiTheme="minorHAnsi" w:hAnsiTheme="minorHAnsi"/>
                <w:bCs/>
                <w:sz w:val="24"/>
                <w:szCs w:val="24"/>
              </w:rPr>
              <w:t>80</w:t>
            </w:r>
          </w:p>
        </w:tc>
        <w:tc>
          <w:tcPr>
            <w:tcW w:w="630" w:type="dxa"/>
          </w:tcPr>
          <w:p w:rsidR="009455D8" w:rsidRPr="009D2ED6" w:rsidRDefault="009455D8" w:rsidP="009455D8">
            <w:pPr>
              <w:jc w:val="center"/>
              <w:rPr>
                <w:rFonts w:asciiTheme="minorHAnsi" w:hAnsiTheme="minorHAnsi"/>
                <w:b/>
                <w:bCs/>
                <w:color w:val="FF0000"/>
                <w:sz w:val="24"/>
                <w:szCs w:val="24"/>
              </w:rPr>
            </w:pPr>
            <w:r w:rsidRPr="009D2ED6">
              <w:rPr>
                <w:rFonts w:asciiTheme="minorHAnsi" w:hAnsiTheme="minorHAnsi"/>
                <w:b/>
                <w:bCs/>
                <w:color w:val="FF0000"/>
                <w:sz w:val="24"/>
                <w:szCs w:val="24"/>
              </w:rPr>
              <w:t>130</w:t>
            </w:r>
          </w:p>
        </w:tc>
      </w:tr>
      <w:tr w:rsidR="009455D8" w:rsidRPr="00A16353" w:rsidTr="009455D8">
        <w:trPr>
          <w:trHeight w:val="255"/>
        </w:trPr>
        <w:tc>
          <w:tcPr>
            <w:tcW w:w="1815" w:type="dxa"/>
            <w:noWrap/>
            <w:tcMar>
              <w:top w:w="15" w:type="dxa"/>
              <w:left w:w="15" w:type="dxa"/>
              <w:bottom w:w="0" w:type="dxa"/>
              <w:right w:w="15" w:type="dxa"/>
            </w:tcMar>
            <w:vAlign w:val="center"/>
          </w:tcPr>
          <w:p w:rsidR="009455D8" w:rsidRPr="00A16353" w:rsidRDefault="009455D8" w:rsidP="009455D8">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9455D8" w:rsidRPr="008C68FB" w:rsidRDefault="009455D8" w:rsidP="009455D8">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9455D8" w:rsidRPr="002C5F55" w:rsidRDefault="009455D8" w:rsidP="009455D8">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9455D8" w:rsidRPr="004C6631" w:rsidRDefault="009455D8" w:rsidP="009455D8">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9455D8" w:rsidRPr="0082033A" w:rsidRDefault="009455D8" w:rsidP="009455D8">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9455D8" w:rsidRPr="00985C05" w:rsidRDefault="009455D8" w:rsidP="009455D8">
            <w:pPr>
              <w:jc w:val="center"/>
              <w:rPr>
                <w:rFonts w:asciiTheme="minorHAnsi" w:hAnsiTheme="minorHAnsi"/>
                <w:bCs/>
                <w:sz w:val="24"/>
                <w:szCs w:val="24"/>
              </w:rPr>
            </w:pPr>
            <w:r w:rsidRPr="00985C05">
              <w:rPr>
                <w:rFonts w:asciiTheme="minorHAnsi" w:hAnsiTheme="minorHAnsi"/>
                <w:bCs/>
                <w:sz w:val="24"/>
                <w:szCs w:val="24"/>
              </w:rPr>
              <w:t>95</w:t>
            </w:r>
          </w:p>
        </w:tc>
        <w:tc>
          <w:tcPr>
            <w:tcW w:w="630" w:type="dxa"/>
          </w:tcPr>
          <w:p w:rsidR="009455D8" w:rsidRPr="00692E24" w:rsidRDefault="009455D8" w:rsidP="009455D8">
            <w:pPr>
              <w:jc w:val="center"/>
              <w:rPr>
                <w:rFonts w:asciiTheme="minorHAnsi" w:hAnsiTheme="minorHAnsi"/>
                <w:bCs/>
                <w:sz w:val="24"/>
                <w:szCs w:val="24"/>
              </w:rPr>
            </w:pPr>
            <w:r w:rsidRPr="00692E24">
              <w:rPr>
                <w:rFonts w:asciiTheme="minorHAnsi" w:hAnsiTheme="minorHAnsi"/>
                <w:bCs/>
                <w:sz w:val="24"/>
                <w:szCs w:val="24"/>
              </w:rPr>
              <w:t>95</w:t>
            </w:r>
          </w:p>
        </w:tc>
        <w:tc>
          <w:tcPr>
            <w:tcW w:w="630" w:type="dxa"/>
          </w:tcPr>
          <w:p w:rsidR="009455D8" w:rsidRPr="00144092" w:rsidRDefault="009455D8" w:rsidP="009455D8">
            <w:pPr>
              <w:jc w:val="center"/>
              <w:rPr>
                <w:rFonts w:asciiTheme="minorHAnsi" w:hAnsiTheme="minorHAnsi"/>
                <w:bCs/>
                <w:sz w:val="24"/>
                <w:szCs w:val="24"/>
              </w:rPr>
            </w:pPr>
            <w:r w:rsidRPr="00144092">
              <w:rPr>
                <w:rFonts w:asciiTheme="minorHAnsi" w:hAnsiTheme="minorHAnsi"/>
                <w:bCs/>
                <w:sz w:val="24"/>
                <w:szCs w:val="24"/>
              </w:rPr>
              <w:t>70</w:t>
            </w:r>
          </w:p>
        </w:tc>
        <w:tc>
          <w:tcPr>
            <w:tcW w:w="630" w:type="dxa"/>
          </w:tcPr>
          <w:p w:rsidR="009455D8" w:rsidRPr="00D33CDC" w:rsidRDefault="009455D8" w:rsidP="009455D8">
            <w:pPr>
              <w:jc w:val="center"/>
              <w:rPr>
                <w:rFonts w:asciiTheme="minorHAnsi" w:hAnsiTheme="minorHAnsi"/>
                <w:bCs/>
                <w:sz w:val="24"/>
                <w:szCs w:val="24"/>
              </w:rPr>
            </w:pPr>
            <w:r w:rsidRPr="00D33CDC">
              <w:rPr>
                <w:rFonts w:asciiTheme="minorHAnsi" w:hAnsiTheme="minorHAnsi"/>
                <w:bCs/>
                <w:sz w:val="24"/>
                <w:szCs w:val="24"/>
              </w:rPr>
              <w:t>71</w:t>
            </w:r>
          </w:p>
        </w:tc>
        <w:tc>
          <w:tcPr>
            <w:tcW w:w="630" w:type="dxa"/>
          </w:tcPr>
          <w:p w:rsidR="009455D8" w:rsidRPr="00F863C8" w:rsidRDefault="009455D8" w:rsidP="009455D8">
            <w:pPr>
              <w:jc w:val="center"/>
              <w:rPr>
                <w:rFonts w:asciiTheme="minorHAnsi" w:hAnsiTheme="minorHAnsi"/>
                <w:bCs/>
                <w:sz w:val="24"/>
                <w:szCs w:val="24"/>
              </w:rPr>
            </w:pPr>
            <w:r w:rsidRPr="00F863C8">
              <w:rPr>
                <w:rFonts w:asciiTheme="minorHAnsi" w:hAnsiTheme="minorHAnsi"/>
                <w:bCs/>
                <w:sz w:val="24"/>
                <w:szCs w:val="24"/>
              </w:rPr>
              <w:t>79</w:t>
            </w:r>
          </w:p>
        </w:tc>
        <w:tc>
          <w:tcPr>
            <w:tcW w:w="630" w:type="dxa"/>
          </w:tcPr>
          <w:p w:rsidR="009455D8" w:rsidRPr="009D2ED6" w:rsidRDefault="009455D8" w:rsidP="009455D8">
            <w:pPr>
              <w:jc w:val="center"/>
              <w:rPr>
                <w:rFonts w:asciiTheme="minorHAnsi" w:hAnsiTheme="minorHAnsi"/>
                <w:bCs/>
                <w:sz w:val="24"/>
                <w:szCs w:val="24"/>
              </w:rPr>
            </w:pPr>
            <w:r w:rsidRPr="009D2ED6">
              <w:rPr>
                <w:rFonts w:asciiTheme="minorHAnsi" w:hAnsiTheme="minorHAnsi"/>
                <w:bCs/>
                <w:sz w:val="24"/>
                <w:szCs w:val="24"/>
              </w:rPr>
              <w:t>98</w:t>
            </w:r>
          </w:p>
        </w:tc>
        <w:tc>
          <w:tcPr>
            <w:tcW w:w="630" w:type="dxa"/>
          </w:tcPr>
          <w:p w:rsidR="009455D8" w:rsidRPr="009D2ED6" w:rsidRDefault="009455D8" w:rsidP="009455D8">
            <w:pPr>
              <w:jc w:val="center"/>
              <w:rPr>
                <w:rFonts w:asciiTheme="minorHAnsi" w:hAnsiTheme="minorHAnsi"/>
                <w:b/>
                <w:bCs/>
                <w:color w:val="FF0000"/>
                <w:sz w:val="24"/>
                <w:szCs w:val="24"/>
              </w:rPr>
            </w:pPr>
            <w:r w:rsidRPr="009D2ED6">
              <w:rPr>
                <w:rFonts w:asciiTheme="minorHAnsi" w:hAnsiTheme="minorHAnsi"/>
                <w:b/>
                <w:bCs/>
                <w:color w:val="FF0000"/>
                <w:sz w:val="24"/>
                <w:szCs w:val="24"/>
              </w:rPr>
              <w:t>122</w:t>
            </w:r>
          </w:p>
        </w:tc>
      </w:tr>
    </w:tbl>
    <w:p w:rsidR="009455D8" w:rsidRDefault="009455D8" w:rsidP="009455D8">
      <w:pPr>
        <w:pStyle w:val="BodyText"/>
        <w:jc w:val="both"/>
        <w:rPr>
          <w:rFonts w:asciiTheme="minorHAnsi" w:hAnsiTheme="minorHAnsi"/>
          <w:bCs/>
        </w:rPr>
      </w:pPr>
    </w:p>
    <w:p w:rsidR="002C318D" w:rsidRDefault="002C318D" w:rsidP="002C318D">
      <w:pPr>
        <w:pStyle w:val="BodyText"/>
        <w:jc w:val="both"/>
        <w:rPr>
          <w:rFonts w:asciiTheme="minorHAnsi" w:hAnsiTheme="minorHAnsi"/>
          <w:bCs/>
        </w:rPr>
      </w:pPr>
      <w:r>
        <w:rPr>
          <w:rFonts w:asciiTheme="minorHAnsi" w:hAnsiTheme="minorHAnsi"/>
          <w:bCs/>
        </w:rPr>
        <w:t xml:space="preserve">     </w:t>
      </w:r>
      <w:r w:rsidR="009455D8">
        <w:rPr>
          <w:rFonts w:asciiTheme="minorHAnsi" w:hAnsiTheme="minorHAnsi"/>
          <w:bCs/>
        </w:rPr>
        <w:t xml:space="preserve">Perceptions of the current state of the economy continue to improve.  </w:t>
      </w:r>
      <w:r>
        <w:rPr>
          <w:rFonts w:asciiTheme="minorHAnsi" w:hAnsiTheme="minorHAnsi"/>
          <w:bCs/>
        </w:rPr>
        <w:t>The Current Situation Index continued its rise</w:t>
      </w:r>
      <w:r w:rsidR="002F566F">
        <w:rPr>
          <w:rFonts w:asciiTheme="minorHAnsi" w:hAnsiTheme="minorHAnsi"/>
          <w:bCs/>
        </w:rPr>
        <w:t xml:space="preserve">, increasing to </w:t>
      </w:r>
      <w:r w:rsidR="009455D8">
        <w:rPr>
          <w:rFonts w:asciiTheme="minorHAnsi" w:hAnsiTheme="minorHAnsi"/>
          <w:bCs/>
        </w:rPr>
        <w:t>77</w:t>
      </w:r>
      <w:r>
        <w:rPr>
          <w:rFonts w:asciiTheme="minorHAnsi" w:hAnsiTheme="minorHAnsi"/>
          <w:bCs/>
        </w:rPr>
        <w:t xml:space="preserve"> from </w:t>
      </w:r>
      <w:r w:rsidR="009455D8">
        <w:rPr>
          <w:rFonts w:asciiTheme="minorHAnsi" w:hAnsiTheme="minorHAnsi"/>
          <w:bCs/>
        </w:rPr>
        <w:t>48</w:t>
      </w:r>
      <w:r>
        <w:rPr>
          <w:rFonts w:asciiTheme="minorHAnsi" w:hAnsiTheme="minorHAnsi"/>
          <w:bCs/>
        </w:rPr>
        <w:t xml:space="preserve"> in </w:t>
      </w:r>
      <w:r w:rsidR="009455D8">
        <w:rPr>
          <w:rFonts w:asciiTheme="minorHAnsi" w:hAnsiTheme="minorHAnsi"/>
          <w:bCs/>
        </w:rPr>
        <w:t>September</w:t>
      </w:r>
      <w:r>
        <w:rPr>
          <w:rFonts w:asciiTheme="minorHAnsi" w:hAnsiTheme="minorHAnsi"/>
          <w:bCs/>
        </w:rPr>
        <w:t xml:space="preserve">.  The percent of consumers who said that the state of the overall American economy was “good” gained to </w:t>
      </w:r>
      <w:r w:rsidR="009455D8">
        <w:rPr>
          <w:rFonts w:asciiTheme="minorHAnsi" w:hAnsiTheme="minorHAnsi"/>
          <w:bCs/>
        </w:rPr>
        <w:t>27 from 21 in September</w:t>
      </w:r>
      <w:r>
        <w:rPr>
          <w:rFonts w:asciiTheme="minorHAnsi" w:hAnsiTheme="minorHAnsi"/>
          <w:bCs/>
        </w:rPr>
        <w:t xml:space="preserve">.  Similarly, the percent who said that the Middle Tennessee economy is “good” rose to </w:t>
      </w:r>
      <w:r w:rsidR="009455D8">
        <w:rPr>
          <w:rFonts w:asciiTheme="minorHAnsi" w:hAnsiTheme="minorHAnsi"/>
          <w:bCs/>
        </w:rPr>
        <w:t>60</w:t>
      </w:r>
      <w:r>
        <w:rPr>
          <w:rFonts w:asciiTheme="minorHAnsi" w:hAnsiTheme="minorHAnsi"/>
          <w:bCs/>
        </w:rPr>
        <w:t xml:space="preserve"> from </w:t>
      </w:r>
      <w:r w:rsidR="009455D8">
        <w:rPr>
          <w:rFonts w:asciiTheme="minorHAnsi" w:hAnsiTheme="minorHAnsi"/>
          <w:bCs/>
        </w:rPr>
        <w:t>51</w:t>
      </w:r>
      <w:r>
        <w:rPr>
          <w:rFonts w:asciiTheme="minorHAnsi" w:hAnsiTheme="minorHAnsi"/>
          <w:bCs/>
        </w:rPr>
        <w:t>.</w:t>
      </w:r>
      <w:r w:rsidR="009455D8">
        <w:rPr>
          <w:rFonts w:asciiTheme="minorHAnsi" w:hAnsiTheme="minorHAnsi"/>
          <w:bCs/>
        </w:rPr>
        <w:t xml:space="preserve">  A clear majority of local consumers feel good about the local economy.   </w:t>
      </w:r>
    </w:p>
    <w:p w:rsidR="00453C72" w:rsidRDefault="00453C72" w:rsidP="009821BD">
      <w:pPr>
        <w:pStyle w:val="BodyText"/>
        <w:jc w:val="both"/>
        <w:rPr>
          <w:rFonts w:asciiTheme="minorHAnsi" w:hAnsiTheme="minorHAnsi"/>
          <w:bCs/>
        </w:rPr>
      </w:pPr>
    </w:p>
    <w:p w:rsidR="009455D8" w:rsidRDefault="009455D8" w:rsidP="009455D8">
      <w:pPr>
        <w:pStyle w:val="BodyText"/>
        <w:jc w:val="both"/>
        <w:rPr>
          <w:rFonts w:asciiTheme="minorHAnsi" w:hAnsiTheme="minorHAnsi"/>
          <w:bCs/>
        </w:rPr>
      </w:pPr>
      <w:r>
        <w:rPr>
          <w:rFonts w:asciiTheme="minorHAnsi" w:hAnsiTheme="minorHAnsi"/>
          <w:bCs/>
        </w:rPr>
        <w:t xml:space="preserve">     Local consumers also feel much better about the future of the economy.  The Future Expectations Index rose significantly to 130 from 80 in September.  Consumer</w:t>
      </w:r>
      <w:r w:rsidR="004C214B">
        <w:rPr>
          <w:rFonts w:asciiTheme="minorHAnsi" w:hAnsiTheme="minorHAnsi"/>
          <w:bCs/>
        </w:rPr>
        <w:t>s</w:t>
      </w:r>
      <w:r>
        <w:rPr>
          <w:rFonts w:asciiTheme="minorHAnsi" w:hAnsiTheme="minorHAnsi"/>
          <w:bCs/>
        </w:rPr>
        <w:t xml:space="preserve"> feel increasingly more optimistic about the </w:t>
      </w:r>
      <w:r w:rsidR="00D97B8B">
        <w:rPr>
          <w:rFonts w:asciiTheme="minorHAnsi" w:hAnsiTheme="minorHAnsi"/>
          <w:bCs/>
        </w:rPr>
        <w:t xml:space="preserve">future of the </w:t>
      </w:r>
      <w:r>
        <w:rPr>
          <w:rFonts w:asciiTheme="minorHAnsi" w:hAnsiTheme="minorHAnsi"/>
          <w:bCs/>
        </w:rPr>
        <w:t xml:space="preserve">national economy, the local </w:t>
      </w:r>
      <w:r>
        <w:rPr>
          <w:rFonts w:asciiTheme="minorHAnsi" w:hAnsiTheme="minorHAnsi"/>
          <w:bCs/>
        </w:rPr>
        <w:lastRenderedPageBreak/>
        <w:t xml:space="preserve">economy, the job market, and their own personal financial situation.  The percent of consumers who said that six months from now business conditions in the country as a whole will be “better” gained to 33 from 22.  </w:t>
      </w:r>
      <w:r w:rsidR="004C214B">
        <w:rPr>
          <w:rFonts w:asciiTheme="minorHAnsi" w:hAnsiTheme="minorHAnsi"/>
          <w:bCs/>
        </w:rPr>
        <w:t xml:space="preserve">Similarly, the percent who said that the local economy will be “better” six months from now rose to 45 from 33.  </w:t>
      </w:r>
    </w:p>
    <w:p w:rsidR="004C214B" w:rsidRDefault="004C214B" w:rsidP="009455D8">
      <w:pPr>
        <w:pStyle w:val="BodyText"/>
        <w:jc w:val="both"/>
        <w:rPr>
          <w:rFonts w:asciiTheme="minorHAnsi" w:hAnsiTheme="minorHAnsi"/>
          <w:bCs/>
        </w:rPr>
      </w:pPr>
    </w:p>
    <w:p w:rsidR="004C214B" w:rsidRDefault="00F07611" w:rsidP="009455D8">
      <w:pPr>
        <w:pStyle w:val="BodyText"/>
        <w:jc w:val="both"/>
        <w:rPr>
          <w:rFonts w:asciiTheme="minorHAnsi" w:hAnsiTheme="minorHAnsi"/>
          <w:bCs/>
        </w:rPr>
      </w:pPr>
      <w:r>
        <w:rPr>
          <w:rFonts w:asciiTheme="minorHAnsi" w:hAnsiTheme="minorHAnsi"/>
          <w:bCs/>
        </w:rPr>
        <w:t xml:space="preserve">     </w:t>
      </w:r>
      <w:r w:rsidR="004C214B">
        <w:rPr>
          <w:rFonts w:asciiTheme="minorHAnsi" w:hAnsiTheme="minorHAnsi"/>
          <w:bCs/>
        </w:rPr>
        <w:t xml:space="preserve">When consumers begin to feel better about the current state of the economy and they also feel increasingly more optimistic about the future of the economy, such positive feelings can </w:t>
      </w:r>
      <w:r>
        <w:rPr>
          <w:rFonts w:asciiTheme="minorHAnsi" w:hAnsiTheme="minorHAnsi"/>
          <w:bCs/>
        </w:rPr>
        <w:t xml:space="preserve">find their way into budgeting and spending decisions.  This is especially important as we enter the ever important Christmas and Holiday shopping season.  </w:t>
      </w:r>
    </w:p>
    <w:p w:rsidR="004C214B" w:rsidRDefault="004C214B" w:rsidP="009455D8">
      <w:pPr>
        <w:pStyle w:val="BodyText"/>
        <w:jc w:val="both"/>
        <w:rPr>
          <w:rFonts w:asciiTheme="minorHAnsi" w:hAnsiTheme="minorHAnsi"/>
          <w:bCs/>
        </w:rPr>
      </w:pPr>
    </w:p>
    <w:p w:rsidR="00312BBE" w:rsidRDefault="002C318D" w:rsidP="00312BBE">
      <w:pPr>
        <w:pStyle w:val="BodyText"/>
        <w:jc w:val="both"/>
        <w:rPr>
          <w:rFonts w:asciiTheme="minorHAnsi" w:hAnsiTheme="minorHAnsi"/>
          <w:bCs/>
        </w:rPr>
      </w:pPr>
      <w:r>
        <w:rPr>
          <w:rFonts w:asciiTheme="minorHAnsi" w:hAnsiTheme="minorHAnsi"/>
          <w:bCs/>
        </w:rPr>
        <w:t xml:space="preserve">     </w:t>
      </w:r>
      <w:r w:rsidR="00F07611">
        <w:rPr>
          <w:rFonts w:asciiTheme="minorHAnsi" w:hAnsiTheme="minorHAnsi"/>
          <w:bCs/>
        </w:rPr>
        <w:t>T</w:t>
      </w:r>
      <w:r w:rsidR="00312BBE">
        <w:rPr>
          <w:rFonts w:asciiTheme="minorHAnsi" w:hAnsiTheme="minorHAnsi"/>
          <w:bCs/>
        </w:rPr>
        <w:t xml:space="preserve">he Purchasing Index </w:t>
      </w:r>
      <w:r w:rsidR="00F07611">
        <w:rPr>
          <w:rFonts w:asciiTheme="minorHAnsi" w:hAnsiTheme="minorHAnsi"/>
          <w:bCs/>
        </w:rPr>
        <w:t xml:space="preserve">also showed a solid increase, rising to 122 from 98 in September.  </w:t>
      </w:r>
      <w:r w:rsidR="00312BBE">
        <w:rPr>
          <w:rFonts w:asciiTheme="minorHAnsi" w:hAnsiTheme="minorHAnsi"/>
          <w:bCs/>
        </w:rPr>
        <w:t xml:space="preserve"> This is </w:t>
      </w:r>
      <w:r w:rsidR="00906A94">
        <w:rPr>
          <w:rFonts w:asciiTheme="minorHAnsi" w:hAnsiTheme="minorHAnsi"/>
          <w:bCs/>
        </w:rPr>
        <w:t>g</w:t>
      </w:r>
      <w:r w:rsidR="00312BBE">
        <w:rPr>
          <w:rFonts w:asciiTheme="minorHAnsi" w:hAnsiTheme="minorHAnsi"/>
          <w:bCs/>
        </w:rPr>
        <w:t xml:space="preserve">ood news </w:t>
      </w:r>
      <w:r w:rsidR="00906A94">
        <w:rPr>
          <w:rFonts w:asciiTheme="minorHAnsi" w:hAnsiTheme="minorHAnsi"/>
          <w:bCs/>
        </w:rPr>
        <w:t xml:space="preserve">that many </w:t>
      </w:r>
      <w:r w:rsidR="00312BBE">
        <w:rPr>
          <w:rFonts w:asciiTheme="minorHAnsi" w:hAnsiTheme="minorHAnsi"/>
          <w:bCs/>
        </w:rPr>
        <w:t>local bus</w:t>
      </w:r>
      <w:r w:rsidR="00F07611">
        <w:rPr>
          <w:rFonts w:asciiTheme="minorHAnsi" w:hAnsiTheme="minorHAnsi"/>
          <w:bCs/>
        </w:rPr>
        <w:t>inesses a</w:t>
      </w:r>
      <w:r w:rsidR="00906A94">
        <w:rPr>
          <w:rFonts w:asciiTheme="minorHAnsi" w:hAnsiTheme="minorHAnsi"/>
          <w:bCs/>
        </w:rPr>
        <w:t>nd</w:t>
      </w:r>
      <w:r w:rsidR="00F07611">
        <w:rPr>
          <w:rFonts w:asciiTheme="minorHAnsi" w:hAnsiTheme="minorHAnsi"/>
          <w:bCs/>
        </w:rPr>
        <w:t xml:space="preserve"> retailers have been </w:t>
      </w:r>
      <w:r w:rsidR="009D2ED6">
        <w:rPr>
          <w:rFonts w:asciiTheme="minorHAnsi" w:hAnsiTheme="minorHAnsi"/>
          <w:bCs/>
        </w:rPr>
        <w:t>hoping</w:t>
      </w:r>
      <w:r w:rsidR="00F07611">
        <w:rPr>
          <w:rFonts w:asciiTheme="minorHAnsi" w:hAnsiTheme="minorHAnsi"/>
          <w:bCs/>
        </w:rPr>
        <w:t xml:space="preserve"> to hear.  </w:t>
      </w:r>
      <w:r w:rsidR="00312BBE">
        <w:rPr>
          <w:rFonts w:asciiTheme="minorHAnsi" w:hAnsiTheme="minorHAnsi"/>
          <w:bCs/>
        </w:rPr>
        <w:t xml:space="preserve">This positive view toward spending could signal healthy sales at the cash register.  </w:t>
      </w:r>
      <w:r w:rsidR="00F07611">
        <w:rPr>
          <w:rFonts w:asciiTheme="minorHAnsi" w:hAnsiTheme="minorHAnsi"/>
          <w:bCs/>
        </w:rPr>
        <w:t xml:space="preserve">Almost half (49 percent) of local consumer said that now is a “good time to buy large items for the home,” up from 32 in September. </w:t>
      </w:r>
      <w:r w:rsidR="00906A94">
        <w:rPr>
          <w:rFonts w:asciiTheme="minorHAnsi" w:hAnsiTheme="minorHAnsi"/>
          <w:bCs/>
        </w:rPr>
        <w:t xml:space="preserve"> Conversely, only 9 percent said that now is a “bad time to buy large items for the home,” a decrease from 13 percent in September.</w:t>
      </w:r>
    </w:p>
    <w:p w:rsidR="00312BBE" w:rsidRDefault="00312BBE" w:rsidP="00453C72">
      <w:pPr>
        <w:pStyle w:val="BodyText"/>
        <w:jc w:val="both"/>
        <w:rPr>
          <w:rFonts w:asciiTheme="minorHAnsi" w:hAnsiTheme="minorHAnsi"/>
          <w:bCs/>
        </w:rPr>
      </w:pPr>
    </w:p>
    <w:p w:rsidR="00F07611" w:rsidRDefault="002C318D" w:rsidP="00F07611">
      <w:pPr>
        <w:pStyle w:val="BodyText"/>
        <w:jc w:val="both"/>
        <w:rPr>
          <w:rFonts w:asciiTheme="minorHAnsi" w:hAnsiTheme="minorHAnsi"/>
          <w:bCs/>
        </w:rPr>
      </w:pPr>
      <w:r>
        <w:rPr>
          <w:rFonts w:asciiTheme="minorHAnsi" w:hAnsiTheme="minorHAnsi"/>
          <w:bCs/>
        </w:rPr>
        <w:t xml:space="preserve">     </w:t>
      </w:r>
      <w:r w:rsidR="00F07611">
        <w:rPr>
          <w:rFonts w:asciiTheme="minorHAnsi" w:hAnsiTheme="minorHAnsi"/>
          <w:bCs/>
        </w:rPr>
        <w:t xml:space="preserve">In many ways, </w:t>
      </w:r>
      <w:r w:rsidR="00906A94">
        <w:rPr>
          <w:rFonts w:asciiTheme="minorHAnsi" w:hAnsiTheme="minorHAnsi"/>
          <w:bCs/>
        </w:rPr>
        <w:t>the feelings that many consumers have regarding the economy are</w:t>
      </w:r>
      <w:r w:rsidR="00F07611">
        <w:rPr>
          <w:rFonts w:asciiTheme="minorHAnsi" w:hAnsiTheme="minorHAnsi"/>
          <w:bCs/>
        </w:rPr>
        <w:t xml:space="preserve"> driven by their perceptions of the job market.  Spending decisions are often </w:t>
      </w:r>
      <w:r w:rsidR="00906A94">
        <w:rPr>
          <w:rFonts w:asciiTheme="minorHAnsi" w:hAnsiTheme="minorHAnsi"/>
          <w:bCs/>
        </w:rPr>
        <w:t xml:space="preserve">influenced by the </w:t>
      </w:r>
      <w:r w:rsidR="00F07611">
        <w:rPr>
          <w:rFonts w:asciiTheme="minorHAnsi" w:hAnsiTheme="minorHAnsi"/>
          <w:bCs/>
        </w:rPr>
        <w:t xml:space="preserve">confidence that one has in </w:t>
      </w:r>
      <w:r w:rsidR="00906A94">
        <w:rPr>
          <w:rFonts w:asciiTheme="minorHAnsi" w:hAnsiTheme="minorHAnsi"/>
          <w:bCs/>
        </w:rPr>
        <w:t xml:space="preserve">his or her </w:t>
      </w:r>
      <w:r w:rsidR="00F07611">
        <w:rPr>
          <w:rFonts w:asciiTheme="minorHAnsi" w:hAnsiTheme="minorHAnsi"/>
          <w:bCs/>
        </w:rPr>
        <w:t xml:space="preserve">job and the </w:t>
      </w:r>
      <w:r w:rsidR="00906A94">
        <w:rPr>
          <w:rFonts w:asciiTheme="minorHAnsi" w:hAnsiTheme="minorHAnsi"/>
          <w:bCs/>
        </w:rPr>
        <w:t xml:space="preserve">perceived </w:t>
      </w:r>
      <w:r w:rsidR="00F07611">
        <w:rPr>
          <w:rFonts w:asciiTheme="minorHAnsi" w:hAnsiTheme="minorHAnsi"/>
          <w:bCs/>
        </w:rPr>
        <w:t>ease with which jobs can be found.  The percent who said that jobs in Middle Tennessee are “easy to find” gained slightly to 16 from 14.  And, the percent who said that in Middle Tennessee six months from now there will be “more job openings” rose to 43 from 38.</w:t>
      </w:r>
    </w:p>
    <w:p w:rsidR="00F07611" w:rsidRDefault="00F07611" w:rsidP="00F07611">
      <w:pPr>
        <w:pStyle w:val="BodyText"/>
        <w:jc w:val="both"/>
        <w:rPr>
          <w:rFonts w:asciiTheme="minorHAnsi" w:hAnsiTheme="minorHAnsi"/>
          <w:bCs/>
        </w:rPr>
      </w:pPr>
    </w:p>
    <w:p w:rsidR="00877A8B" w:rsidRDefault="00877A8B" w:rsidP="00877A8B">
      <w:pPr>
        <w:pStyle w:val="BodyText"/>
        <w:jc w:val="both"/>
        <w:rPr>
          <w:rFonts w:asciiTheme="minorHAnsi" w:hAnsiTheme="minorHAnsi"/>
        </w:rPr>
      </w:pPr>
      <w:r>
        <w:rPr>
          <w:rFonts w:asciiTheme="minorHAnsi" w:hAnsiTheme="minorHAnsi"/>
        </w:rPr>
        <w:t xml:space="preserve">     </w:t>
      </w:r>
      <w:r w:rsidRPr="00A16353">
        <w:rPr>
          <w:rFonts w:asciiTheme="minorHAnsi" w:hAnsiTheme="minorHAnsi"/>
        </w:rPr>
        <w:t xml:space="preserve">The current </w:t>
      </w:r>
      <w:r w:rsidR="004F2D9D">
        <w:rPr>
          <w:rFonts w:asciiTheme="minorHAnsi" w:hAnsiTheme="minorHAnsi"/>
        </w:rPr>
        <w:t xml:space="preserve">telephone </w:t>
      </w:r>
      <w:r w:rsidRPr="00A16353">
        <w:rPr>
          <w:rFonts w:asciiTheme="minorHAnsi" w:hAnsiTheme="minorHAnsi"/>
        </w:rPr>
        <w:t>poll of</w:t>
      </w:r>
      <w:r>
        <w:rPr>
          <w:rFonts w:asciiTheme="minorHAnsi" w:hAnsiTheme="minorHAnsi"/>
        </w:rPr>
        <w:t xml:space="preserve"> </w:t>
      </w:r>
      <w:r w:rsidR="004F2D9D">
        <w:rPr>
          <w:rFonts w:asciiTheme="minorHAnsi" w:hAnsiTheme="minorHAnsi"/>
        </w:rPr>
        <w:t>235</w:t>
      </w:r>
      <w:r w:rsidR="00312BBE">
        <w:rPr>
          <w:rFonts w:asciiTheme="minorHAnsi" w:hAnsiTheme="minorHAnsi"/>
        </w:rPr>
        <w:t xml:space="preserve"> </w:t>
      </w:r>
      <w:r w:rsidRPr="00A16353">
        <w:rPr>
          <w:rFonts w:asciiTheme="minorHAnsi" w:hAnsiTheme="minorHAnsi"/>
        </w:rPr>
        <w:t>randomly selected adult residents of Davidson</w:t>
      </w:r>
      <w:r>
        <w:rPr>
          <w:rFonts w:asciiTheme="minorHAnsi" w:hAnsiTheme="minorHAnsi"/>
        </w:rPr>
        <w:t xml:space="preserve"> County</w:t>
      </w:r>
      <w:r w:rsidRPr="00A16353">
        <w:rPr>
          <w:rFonts w:asciiTheme="minorHAnsi" w:hAnsiTheme="minorHAnsi"/>
        </w:rPr>
        <w:t>, Rutherford</w:t>
      </w:r>
      <w:r>
        <w:rPr>
          <w:rFonts w:asciiTheme="minorHAnsi" w:hAnsiTheme="minorHAnsi"/>
        </w:rPr>
        <w:t xml:space="preserve"> County</w:t>
      </w:r>
      <w:r w:rsidRPr="00A16353">
        <w:rPr>
          <w:rFonts w:asciiTheme="minorHAnsi" w:hAnsiTheme="minorHAnsi"/>
        </w:rPr>
        <w:t xml:space="preserve"> and Williamson </w:t>
      </w:r>
      <w:r>
        <w:rPr>
          <w:rFonts w:asciiTheme="minorHAnsi" w:hAnsiTheme="minorHAnsi"/>
        </w:rPr>
        <w:t xml:space="preserve">County </w:t>
      </w:r>
      <w:r w:rsidRPr="00A16353">
        <w:rPr>
          <w:rFonts w:asciiTheme="minorHAnsi" w:hAnsiTheme="minorHAnsi"/>
        </w:rPr>
        <w:t xml:space="preserve">was conducted </w:t>
      </w:r>
      <w:r w:rsidR="00144092">
        <w:rPr>
          <w:rFonts w:asciiTheme="minorHAnsi" w:hAnsiTheme="minorHAnsi"/>
        </w:rPr>
        <w:t xml:space="preserve">between the evenings of </w:t>
      </w:r>
      <w:r w:rsidR="00FB5698">
        <w:rPr>
          <w:rFonts w:asciiTheme="minorHAnsi" w:hAnsiTheme="minorHAnsi"/>
        </w:rPr>
        <w:t xml:space="preserve">Monday, </w:t>
      </w:r>
      <w:r w:rsidR="0032093F">
        <w:rPr>
          <w:rFonts w:asciiTheme="minorHAnsi" w:hAnsiTheme="minorHAnsi"/>
        </w:rPr>
        <w:t>December 1</w:t>
      </w:r>
      <w:r w:rsidR="00144092">
        <w:rPr>
          <w:rFonts w:asciiTheme="minorHAnsi" w:hAnsiTheme="minorHAnsi"/>
        </w:rPr>
        <w:t xml:space="preserve"> and </w:t>
      </w:r>
      <w:r w:rsidR="00FB5698">
        <w:rPr>
          <w:rFonts w:asciiTheme="minorHAnsi" w:hAnsiTheme="minorHAnsi"/>
        </w:rPr>
        <w:t xml:space="preserve">Wednesday, </w:t>
      </w:r>
      <w:r w:rsidR="0032093F">
        <w:rPr>
          <w:rFonts w:asciiTheme="minorHAnsi" w:hAnsiTheme="minorHAnsi"/>
        </w:rPr>
        <w:t>December 3</w:t>
      </w:r>
      <w:r>
        <w:rPr>
          <w:rFonts w:asciiTheme="minorHAnsi" w:hAnsiTheme="minorHAnsi"/>
        </w:rPr>
        <w:t>.</w:t>
      </w:r>
      <w:r w:rsidR="00D75CD8">
        <w:rPr>
          <w:rStyle w:val="FootnoteReference"/>
          <w:rFonts w:asciiTheme="minorHAnsi" w:hAnsiTheme="minorHAnsi"/>
        </w:rPr>
        <w:footnoteReference w:id="2"/>
      </w:r>
      <w:r w:rsidR="004F2D9D">
        <w:rPr>
          <w:rFonts w:asciiTheme="minorHAnsi" w:hAnsiTheme="minorHAnsi"/>
        </w:rPr>
        <w:t xml:space="preserve">  The sample included both landline and cell phones.</w:t>
      </w:r>
      <w:r>
        <w:rPr>
          <w:rFonts w:asciiTheme="minorHAnsi" w:hAnsiTheme="minorHAnsi"/>
        </w:rPr>
        <w:t xml:space="preserve"> </w:t>
      </w:r>
      <w:r w:rsidRPr="00A16353">
        <w:rPr>
          <w:rFonts w:asciiTheme="minorHAnsi" w:hAnsiTheme="minorHAnsi"/>
        </w:rPr>
        <w:t xml:space="preserve">  </w:t>
      </w:r>
    </w:p>
    <w:p w:rsidR="002C318D" w:rsidRDefault="002C318D" w:rsidP="00877A8B">
      <w:pPr>
        <w:pStyle w:val="BodyText"/>
        <w:jc w:val="both"/>
        <w:rPr>
          <w:rFonts w:asciiTheme="minorHAnsi" w:hAnsiTheme="minorHAnsi"/>
        </w:rPr>
      </w:pPr>
    </w:p>
    <w:p w:rsidR="001D6128" w:rsidRDefault="00877A8B" w:rsidP="00877A8B">
      <w:pPr>
        <w:pStyle w:val="BodyText"/>
        <w:jc w:val="center"/>
        <w:rPr>
          <w:rFonts w:asciiTheme="minorHAnsi" w:hAnsiTheme="minorHAnsi"/>
          <w:bCs/>
        </w:rPr>
      </w:pPr>
      <w:r w:rsidRPr="00877A8B">
        <w:rPr>
          <w:rFonts w:asciiTheme="minorHAnsi" w:hAnsiTheme="minorHAnsi"/>
          <w:b/>
          <w:bCs/>
          <w:noProof/>
        </w:rPr>
        <w:lastRenderedPageBreak/>
        <w:drawing>
          <wp:inline distT="0" distB="0" distL="0" distR="0" wp14:anchorId="64F75078" wp14:editId="7ED70127">
            <wp:extent cx="5172075" cy="45529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580C" w:rsidRDefault="00B9580C" w:rsidP="00877A8B">
      <w:pPr>
        <w:pStyle w:val="BodyText"/>
        <w:jc w:val="both"/>
        <w:rPr>
          <w:rFonts w:asciiTheme="minorHAnsi" w:hAnsiTheme="minorHAnsi"/>
          <w:bCs/>
        </w:rPr>
      </w:pPr>
    </w:p>
    <w:p w:rsidR="00DD7B99" w:rsidRPr="008D1959" w:rsidRDefault="00877A8B" w:rsidP="00DD7B99">
      <w:pPr>
        <w:pStyle w:val="BodyText"/>
        <w:jc w:val="both"/>
        <w:rPr>
          <w:rFonts w:asciiTheme="minorHAnsi" w:hAnsiTheme="minorHAnsi"/>
          <w:b/>
          <w:bCs/>
          <w:sz w:val="28"/>
          <w:szCs w:val="28"/>
          <w:u w:val="single"/>
        </w:rPr>
      </w:pPr>
      <w:r w:rsidRPr="00A16353">
        <w:rPr>
          <w:rFonts w:asciiTheme="minorHAnsi" w:hAnsiTheme="minorHAnsi"/>
          <w:bCs/>
        </w:rPr>
        <w:t xml:space="preserve">     </w:t>
      </w:r>
      <w:r w:rsidR="00DD7B99" w:rsidRPr="008D1959">
        <w:rPr>
          <w:rFonts w:asciiTheme="minorHAnsi" w:hAnsiTheme="minorHAnsi"/>
          <w:b/>
          <w:bCs/>
          <w:sz w:val="28"/>
          <w:szCs w:val="28"/>
          <w:u w:val="single"/>
        </w:rPr>
        <w:t>Annual Consumer Spending</w:t>
      </w:r>
    </w:p>
    <w:p w:rsidR="00DD7B99" w:rsidRPr="00A16353" w:rsidRDefault="00DD7B99" w:rsidP="00DD7B99">
      <w:pPr>
        <w:pStyle w:val="BodyText"/>
        <w:jc w:val="both"/>
        <w:rPr>
          <w:rFonts w:asciiTheme="minorHAnsi" w:hAnsiTheme="minorHAnsi"/>
          <w:bCs/>
        </w:rPr>
      </w:pPr>
    </w:p>
    <w:p w:rsidR="00877A8B" w:rsidRDefault="00813A3C" w:rsidP="00342C3E">
      <w:pPr>
        <w:pStyle w:val="BodyText"/>
        <w:jc w:val="both"/>
        <w:rPr>
          <w:rFonts w:asciiTheme="minorHAnsi" w:hAnsiTheme="minorHAnsi"/>
          <w:bCs/>
        </w:rPr>
      </w:pPr>
      <w:r>
        <w:rPr>
          <w:rFonts w:asciiTheme="minorHAnsi" w:hAnsiTheme="minorHAnsi"/>
          <w:bCs/>
        </w:rPr>
        <w:t xml:space="preserve">     </w:t>
      </w:r>
      <w:r w:rsidR="006558E4">
        <w:rPr>
          <w:rFonts w:asciiTheme="minorHAnsi" w:hAnsiTheme="minorHAnsi"/>
          <w:bCs/>
        </w:rPr>
        <w:t xml:space="preserve">As consumers become more </w:t>
      </w:r>
      <w:r w:rsidR="0022619B">
        <w:rPr>
          <w:rFonts w:asciiTheme="minorHAnsi" w:hAnsiTheme="minorHAnsi"/>
          <w:bCs/>
        </w:rPr>
        <w:t>optimistic</w:t>
      </w:r>
      <w:r w:rsidR="006558E4">
        <w:rPr>
          <w:rFonts w:asciiTheme="minorHAnsi" w:hAnsiTheme="minorHAnsi"/>
          <w:bCs/>
        </w:rPr>
        <w:t xml:space="preserve"> about the economy this can have positive effects on their spending decisions.  </w:t>
      </w:r>
      <w:r w:rsidR="00F63061">
        <w:rPr>
          <w:rFonts w:asciiTheme="minorHAnsi" w:hAnsiTheme="minorHAnsi"/>
          <w:bCs/>
        </w:rPr>
        <w:t xml:space="preserve">When asked whether or not they </w:t>
      </w:r>
      <w:r>
        <w:rPr>
          <w:rFonts w:asciiTheme="minorHAnsi" w:hAnsiTheme="minorHAnsi"/>
          <w:bCs/>
        </w:rPr>
        <w:t xml:space="preserve">expect </w:t>
      </w:r>
      <w:r w:rsidR="00F63061">
        <w:rPr>
          <w:rFonts w:asciiTheme="minorHAnsi" w:hAnsiTheme="minorHAnsi"/>
          <w:bCs/>
        </w:rPr>
        <w:t>their level of consumer spending for 201</w:t>
      </w:r>
      <w:r w:rsidR="0021226D">
        <w:rPr>
          <w:rFonts w:asciiTheme="minorHAnsi" w:hAnsiTheme="minorHAnsi"/>
          <w:bCs/>
        </w:rPr>
        <w:t>4</w:t>
      </w:r>
      <w:r w:rsidR="00F63061">
        <w:rPr>
          <w:rFonts w:asciiTheme="minorHAnsi" w:hAnsiTheme="minorHAnsi"/>
          <w:bCs/>
        </w:rPr>
        <w:t xml:space="preserve"> to be more or less than it was for 201</w:t>
      </w:r>
      <w:r w:rsidR="0021226D">
        <w:rPr>
          <w:rFonts w:asciiTheme="minorHAnsi" w:hAnsiTheme="minorHAnsi"/>
          <w:bCs/>
        </w:rPr>
        <w:t>3</w:t>
      </w:r>
      <w:r w:rsidR="00F63061">
        <w:rPr>
          <w:rFonts w:asciiTheme="minorHAnsi" w:hAnsiTheme="minorHAnsi"/>
          <w:bCs/>
        </w:rPr>
        <w:t xml:space="preserve">, the percent </w:t>
      </w:r>
      <w:r w:rsidR="00DD7B99">
        <w:rPr>
          <w:rFonts w:asciiTheme="minorHAnsi" w:hAnsiTheme="minorHAnsi"/>
          <w:bCs/>
        </w:rPr>
        <w:t xml:space="preserve">of consumers who expect to increase their spending </w:t>
      </w:r>
      <w:r w:rsidR="007F3C92">
        <w:rPr>
          <w:rFonts w:asciiTheme="minorHAnsi" w:hAnsiTheme="minorHAnsi"/>
          <w:bCs/>
        </w:rPr>
        <w:t xml:space="preserve">rose to 43 from 34, while the percent who plan to decrease their spending dropped to 17 from 20.  </w:t>
      </w:r>
    </w:p>
    <w:p w:rsidR="00F63061" w:rsidRDefault="00F63061" w:rsidP="00342C3E">
      <w:pPr>
        <w:pStyle w:val="BodyText"/>
        <w:jc w:val="both"/>
        <w:rPr>
          <w:rFonts w:asciiTheme="minorHAnsi" w:hAnsiTheme="minorHAnsi"/>
          <w:bCs/>
        </w:rPr>
      </w:pPr>
    </w:p>
    <w:p w:rsidR="00DD7B99" w:rsidRDefault="00DD7B99" w:rsidP="00342C3E">
      <w:pPr>
        <w:pStyle w:val="BodyText"/>
        <w:jc w:val="both"/>
        <w:rPr>
          <w:rFonts w:asciiTheme="minorHAnsi" w:hAnsiTheme="minorHAnsi"/>
          <w:bCs/>
        </w:rPr>
      </w:pPr>
      <w:r>
        <w:rPr>
          <w:noProof/>
        </w:rPr>
        <w:lastRenderedPageBreak/>
        <w:drawing>
          <wp:inline distT="0" distB="0" distL="0" distR="0" wp14:anchorId="508FE997" wp14:editId="3C0131C1">
            <wp:extent cx="5324475" cy="2638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B99" w:rsidRDefault="00DD7B99" w:rsidP="00342C3E">
      <w:pPr>
        <w:pStyle w:val="BodyText"/>
        <w:jc w:val="both"/>
        <w:rPr>
          <w:rFonts w:asciiTheme="minorHAnsi" w:hAnsiTheme="minorHAnsi"/>
          <w:bCs/>
        </w:rPr>
      </w:pPr>
    </w:p>
    <w:p w:rsidR="00915403" w:rsidRDefault="00915403" w:rsidP="00915403">
      <w:pPr>
        <w:pStyle w:val="BodyText"/>
        <w:jc w:val="both"/>
        <w:rPr>
          <w:rFonts w:asciiTheme="minorHAnsi" w:hAnsiTheme="minorHAnsi"/>
          <w:bCs/>
        </w:rPr>
      </w:pPr>
    </w:p>
    <w:p w:rsidR="00344F23" w:rsidRPr="008D1959" w:rsidRDefault="00344F23" w:rsidP="00344F23">
      <w:pPr>
        <w:jc w:val="both"/>
        <w:rPr>
          <w:rFonts w:asciiTheme="minorHAnsi" w:hAnsiTheme="minorHAnsi"/>
          <w:b/>
          <w:bCs/>
          <w:sz w:val="28"/>
          <w:szCs w:val="28"/>
          <w:u w:val="single"/>
        </w:rPr>
      </w:pPr>
      <w:r w:rsidRPr="008D1959">
        <w:rPr>
          <w:rFonts w:asciiTheme="minorHAnsi" w:hAnsiTheme="minorHAnsi"/>
          <w:b/>
          <w:bCs/>
          <w:sz w:val="28"/>
          <w:szCs w:val="28"/>
          <w:u w:val="single"/>
        </w:rPr>
        <w:t>Christmas and Holiday Spending</w:t>
      </w:r>
    </w:p>
    <w:p w:rsidR="00344F23" w:rsidRDefault="00344F23" w:rsidP="00344F23">
      <w:pPr>
        <w:pStyle w:val="BodyText"/>
        <w:jc w:val="both"/>
        <w:rPr>
          <w:rFonts w:asciiTheme="minorHAnsi" w:hAnsiTheme="minorHAnsi"/>
          <w:bCs/>
        </w:rPr>
      </w:pPr>
    </w:p>
    <w:p w:rsidR="00344F23" w:rsidRDefault="00344F23" w:rsidP="00344F23">
      <w:pPr>
        <w:pStyle w:val="BodyText"/>
        <w:jc w:val="both"/>
        <w:rPr>
          <w:rFonts w:asciiTheme="minorHAnsi" w:hAnsiTheme="minorHAnsi"/>
          <w:bCs/>
        </w:rPr>
      </w:pPr>
      <w:r>
        <w:rPr>
          <w:rFonts w:asciiTheme="minorHAnsi" w:hAnsiTheme="minorHAnsi"/>
          <w:bCs/>
        </w:rPr>
        <w:t xml:space="preserve">     The Christmas and holiday shopping season is an important time for most retailers.  A concern for local retailers is that </w:t>
      </w:r>
      <w:r w:rsidR="007F3C92">
        <w:rPr>
          <w:rFonts w:asciiTheme="minorHAnsi" w:hAnsiTheme="minorHAnsi"/>
          <w:bCs/>
        </w:rPr>
        <w:t xml:space="preserve">if consumers are not feeling upbeat about the economy, this can dampen their </w:t>
      </w:r>
      <w:r>
        <w:rPr>
          <w:rFonts w:asciiTheme="minorHAnsi" w:hAnsiTheme="minorHAnsi"/>
          <w:bCs/>
        </w:rPr>
        <w:t xml:space="preserve">willingness to spend money on </w:t>
      </w:r>
      <w:r w:rsidR="0022619B">
        <w:rPr>
          <w:rFonts w:asciiTheme="minorHAnsi" w:hAnsiTheme="minorHAnsi"/>
          <w:bCs/>
        </w:rPr>
        <w:t xml:space="preserve">Christmas and </w:t>
      </w:r>
      <w:r>
        <w:rPr>
          <w:rFonts w:asciiTheme="minorHAnsi" w:hAnsiTheme="minorHAnsi"/>
          <w:bCs/>
        </w:rPr>
        <w:t xml:space="preserve">holiday </w:t>
      </w:r>
      <w:r w:rsidR="007F3C92">
        <w:rPr>
          <w:rFonts w:asciiTheme="minorHAnsi" w:hAnsiTheme="minorHAnsi"/>
          <w:bCs/>
        </w:rPr>
        <w:t>gifts.  However, the current survey suggests that this should not be a concern for retailers.  In fact, w</w:t>
      </w:r>
      <w:r>
        <w:rPr>
          <w:rFonts w:asciiTheme="minorHAnsi" w:hAnsiTheme="minorHAnsi"/>
          <w:bCs/>
        </w:rPr>
        <w:t xml:space="preserve">hen asked </w:t>
      </w:r>
      <w:r w:rsidRPr="0091272D">
        <w:rPr>
          <w:rFonts w:asciiTheme="minorHAnsi" w:hAnsiTheme="minorHAnsi"/>
          <w:bCs/>
        </w:rPr>
        <w:t xml:space="preserve">about their expected Christmas </w:t>
      </w:r>
      <w:r>
        <w:rPr>
          <w:rFonts w:asciiTheme="minorHAnsi" w:hAnsiTheme="minorHAnsi"/>
          <w:bCs/>
        </w:rPr>
        <w:t xml:space="preserve">and holiday spending, the percent who expect to increase their spending gained to </w:t>
      </w:r>
      <w:r w:rsidR="007F3C92">
        <w:rPr>
          <w:rFonts w:asciiTheme="minorHAnsi" w:hAnsiTheme="minorHAnsi"/>
          <w:bCs/>
        </w:rPr>
        <w:t xml:space="preserve">21 from </w:t>
      </w:r>
      <w:r>
        <w:rPr>
          <w:rFonts w:asciiTheme="minorHAnsi" w:hAnsiTheme="minorHAnsi"/>
          <w:bCs/>
        </w:rPr>
        <w:t xml:space="preserve">15, while the percent who expect to decrease their spending </w:t>
      </w:r>
      <w:r w:rsidR="0022619B">
        <w:rPr>
          <w:rFonts w:asciiTheme="minorHAnsi" w:hAnsiTheme="minorHAnsi"/>
          <w:bCs/>
        </w:rPr>
        <w:t xml:space="preserve">dropped </w:t>
      </w:r>
      <w:r w:rsidR="007F3C92">
        <w:rPr>
          <w:rFonts w:asciiTheme="minorHAnsi" w:hAnsiTheme="minorHAnsi"/>
          <w:bCs/>
        </w:rPr>
        <w:t>to 32 from 38</w:t>
      </w:r>
      <w:r>
        <w:rPr>
          <w:rFonts w:asciiTheme="minorHAnsi" w:hAnsiTheme="minorHAnsi"/>
          <w:bCs/>
        </w:rPr>
        <w:t xml:space="preserve">.  </w:t>
      </w:r>
    </w:p>
    <w:p w:rsidR="00344F23" w:rsidRDefault="00344F23" w:rsidP="00344F23">
      <w:pPr>
        <w:rPr>
          <w:rFonts w:asciiTheme="minorHAnsi" w:hAnsiTheme="minorHAnsi"/>
          <w:bCs/>
          <w:sz w:val="24"/>
        </w:rPr>
      </w:pPr>
      <w:r>
        <w:rPr>
          <w:rFonts w:asciiTheme="minorHAnsi" w:hAnsiTheme="minorHAnsi"/>
          <w:bCs/>
          <w:noProof/>
          <w:sz w:val="24"/>
        </w:rPr>
        <w:drawing>
          <wp:inline distT="0" distB="0" distL="0" distR="0" wp14:anchorId="31BCD0D2" wp14:editId="33A3CCB3">
            <wp:extent cx="5486400" cy="282202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4F23" w:rsidRDefault="00344F23" w:rsidP="00344F23">
      <w:pPr>
        <w:rPr>
          <w:rFonts w:asciiTheme="minorHAnsi" w:hAnsiTheme="minorHAnsi"/>
          <w:bCs/>
          <w:sz w:val="24"/>
        </w:rPr>
      </w:pPr>
    </w:p>
    <w:p w:rsidR="0089602C" w:rsidRDefault="0022619B" w:rsidP="00344F23">
      <w:pPr>
        <w:rPr>
          <w:rFonts w:asciiTheme="minorHAnsi" w:hAnsiTheme="minorHAnsi"/>
          <w:bCs/>
          <w:sz w:val="24"/>
        </w:rPr>
      </w:pPr>
      <w:r>
        <w:rPr>
          <w:rFonts w:asciiTheme="minorHAnsi" w:hAnsiTheme="minorHAnsi"/>
          <w:b/>
          <w:bCs/>
          <w:i/>
          <w:sz w:val="24"/>
        </w:rPr>
        <w:br w:type="column"/>
      </w:r>
      <w:r w:rsidR="00344F23" w:rsidRPr="00FE48A8">
        <w:rPr>
          <w:rFonts w:asciiTheme="minorHAnsi" w:hAnsiTheme="minorHAnsi"/>
          <w:b/>
          <w:bCs/>
          <w:i/>
          <w:sz w:val="24"/>
        </w:rPr>
        <w:lastRenderedPageBreak/>
        <w:t xml:space="preserve">Comparison to </w:t>
      </w:r>
      <w:r w:rsidR="00344F23">
        <w:rPr>
          <w:rFonts w:asciiTheme="minorHAnsi" w:hAnsiTheme="minorHAnsi"/>
          <w:b/>
          <w:bCs/>
          <w:i/>
          <w:sz w:val="24"/>
        </w:rPr>
        <w:t>National Surveys</w:t>
      </w:r>
      <w:r w:rsidR="00344F23" w:rsidRPr="00FE48A8">
        <w:rPr>
          <w:rFonts w:asciiTheme="minorHAnsi" w:hAnsiTheme="minorHAnsi"/>
          <w:b/>
          <w:bCs/>
          <w:i/>
          <w:sz w:val="24"/>
        </w:rPr>
        <w:t>.</w:t>
      </w:r>
      <w:r w:rsidR="00344F23">
        <w:rPr>
          <w:rFonts w:asciiTheme="minorHAnsi" w:hAnsiTheme="minorHAnsi"/>
          <w:bCs/>
          <w:sz w:val="24"/>
        </w:rPr>
        <w:t xml:space="preserve">     </w:t>
      </w:r>
      <w:r w:rsidR="007F3C92">
        <w:rPr>
          <w:rFonts w:asciiTheme="minorHAnsi" w:hAnsiTheme="minorHAnsi"/>
          <w:bCs/>
          <w:sz w:val="24"/>
        </w:rPr>
        <w:t xml:space="preserve">Apparently, the spirits of local consumers have been lifted more than </w:t>
      </w:r>
      <w:r>
        <w:rPr>
          <w:rFonts w:asciiTheme="minorHAnsi" w:hAnsiTheme="minorHAnsi"/>
          <w:bCs/>
          <w:sz w:val="24"/>
        </w:rPr>
        <w:t xml:space="preserve">those of </w:t>
      </w:r>
      <w:r w:rsidR="007F3C92">
        <w:rPr>
          <w:rFonts w:asciiTheme="minorHAnsi" w:hAnsiTheme="minorHAnsi"/>
          <w:bCs/>
          <w:sz w:val="24"/>
        </w:rPr>
        <w:t>consumer</w:t>
      </w:r>
      <w:r>
        <w:rPr>
          <w:rFonts w:asciiTheme="minorHAnsi" w:hAnsiTheme="minorHAnsi"/>
          <w:bCs/>
          <w:sz w:val="24"/>
        </w:rPr>
        <w:t>s</w:t>
      </w:r>
      <w:r w:rsidR="007F3C92">
        <w:rPr>
          <w:rFonts w:asciiTheme="minorHAnsi" w:hAnsiTheme="minorHAnsi"/>
          <w:bCs/>
          <w:sz w:val="24"/>
        </w:rPr>
        <w:t xml:space="preserve"> across the rest of the country.  </w:t>
      </w:r>
      <w:r w:rsidR="00344F23">
        <w:rPr>
          <w:rFonts w:asciiTheme="minorHAnsi" w:hAnsiTheme="minorHAnsi"/>
          <w:bCs/>
          <w:sz w:val="24"/>
        </w:rPr>
        <w:t>The 1</w:t>
      </w:r>
      <w:r w:rsidR="0089602C">
        <w:rPr>
          <w:rFonts w:asciiTheme="minorHAnsi" w:hAnsiTheme="minorHAnsi"/>
          <w:bCs/>
          <w:sz w:val="24"/>
        </w:rPr>
        <w:t>5</w:t>
      </w:r>
      <w:r w:rsidR="00344F23" w:rsidRPr="00892687">
        <w:rPr>
          <w:rFonts w:asciiTheme="minorHAnsi" w:hAnsiTheme="minorHAnsi"/>
          <w:bCs/>
          <w:sz w:val="24"/>
          <w:vertAlign w:val="superscript"/>
        </w:rPr>
        <w:t>th</w:t>
      </w:r>
      <w:r w:rsidR="00344F23">
        <w:rPr>
          <w:rFonts w:asciiTheme="minorHAnsi" w:hAnsiTheme="minorHAnsi"/>
          <w:bCs/>
          <w:sz w:val="24"/>
        </w:rPr>
        <w:t xml:space="preserve"> annual holiday spending survey, conducted by the Consumer Federation of America (CFA) and the Credit Union National Association (CUNA) recently found that </w:t>
      </w:r>
      <w:r>
        <w:rPr>
          <w:rFonts w:asciiTheme="minorHAnsi" w:hAnsiTheme="minorHAnsi"/>
          <w:bCs/>
          <w:sz w:val="24"/>
        </w:rPr>
        <w:t xml:space="preserve">only </w:t>
      </w:r>
      <w:r w:rsidR="00344F23">
        <w:rPr>
          <w:rFonts w:asciiTheme="minorHAnsi" w:hAnsiTheme="minorHAnsi"/>
          <w:bCs/>
          <w:sz w:val="24"/>
        </w:rPr>
        <w:t>1</w:t>
      </w:r>
      <w:r w:rsidR="0089602C">
        <w:rPr>
          <w:rFonts w:asciiTheme="minorHAnsi" w:hAnsiTheme="minorHAnsi"/>
          <w:bCs/>
          <w:sz w:val="24"/>
        </w:rPr>
        <w:t>0</w:t>
      </w:r>
      <w:r w:rsidR="00344F23">
        <w:rPr>
          <w:rFonts w:asciiTheme="minorHAnsi" w:hAnsiTheme="minorHAnsi"/>
          <w:bCs/>
          <w:sz w:val="24"/>
        </w:rPr>
        <w:t xml:space="preserve"> percent of </w:t>
      </w:r>
      <w:bookmarkStart w:id="0" w:name="_GoBack"/>
      <w:bookmarkEnd w:id="0"/>
      <w:r w:rsidR="00344F23">
        <w:rPr>
          <w:rFonts w:asciiTheme="minorHAnsi" w:hAnsiTheme="minorHAnsi"/>
          <w:bCs/>
          <w:sz w:val="24"/>
        </w:rPr>
        <w:t xml:space="preserve">Americans expect to increase their holiday spending from last year, </w:t>
      </w:r>
      <w:r w:rsidR="007F3C92">
        <w:rPr>
          <w:rFonts w:asciiTheme="minorHAnsi" w:hAnsiTheme="minorHAnsi"/>
          <w:bCs/>
          <w:sz w:val="24"/>
        </w:rPr>
        <w:t xml:space="preserve">whereas </w:t>
      </w:r>
      <w:r w:rsidR="00344F23">
        <w:rPr>
          <w:rFonts w:asciiTheme="minorHAnsi" w:hAnsiTheme="minorHAnsi"/>
          <w:bCs/>
          <w:sz w:val="24"/>
        </w:rPr>
        <w:t>3</w:t>
      </w:r>
      <w:r w:rsidR="0089602C">
        <w:rPr>
          <w:rFonts w:asciiTheme="minorHAnsi" w:hAnsiTheme="minorHAnsi"/>
          <w:bCs/>
          <w:sz w:val="24"/>
        </w:rPr>
        <w:t>3</w:t>
      </w:r>
      <w:r w:rsidR="00344F23">
        <w:rPr>
          <w:rFonts w:asciiTheme="minorHAnsi" w:hAnsiTheme="minorHAnsi"/>
          <w:bCs/>
          <w:sz w:val="24"/>
        </w:rPr>
        <w:t xml:space="preserve"> percent expect to decrease their holiday spending from last year.</w:t>
      </w:r>
      <w:r w:rsidR="00344F23">
        <w:rPr>
          <w:rStyle w:val="FootnoteReference"/>
          <w:rFonts w:asciiTheme="minorHAnsi" w:hAnsiTheme="minorHAnsi"/>
          <w:bCs/>
          <w:sz w:val="24"/>
        </w:rPr>
        <w:footnoteReference w:id="3"/>
      </w:r>
      <w:r w:rsidR="00344F23">
        <w:rPr>
          <w:rFonts w:asciiTheme="minorHAnsi" w:hAnsiTheme="minorHAnsi"/>
          <w:bCs/>
          <w:sz w:val="24"/>
        </w:rPr>
        <w:t xml:space="preserve">   </w:t>
      </w:r>
    </w:p>
    <w:p w:rsidR="0089602C" w:rsidRDefault="0089602C" w:rsidP="00344F23">
      <w:pPr>
        <w:rPr>
          <w:rFonts w:asciiTheme="minorHAnsi" w:hAnsiTheme="minorHAnsi"/>
          <w:bCs/>
          <w:sz w:val="24"/>
        </w:rPr>
      </w:pPr>
    </w:p>
    <w:p w:rsidR="00344F23" w:rsidRDefault="00344F23" w:rsidP="00344F23">
      <w:pPr>
        <w:rPr>
          <w:rFonts w:asciiTheme="minorHAnsi" w:hAnsiTheme="minorHAnsi"/>
          <w:bCs/>
          <w:sz w:val="24"/>
          <w:szCs w:val="24"/>
        </w:rPr>
      </w:pPr>
      <w:r w:rsidRPr="00DD7B99">
        <w:rPr>
          <w:rFonts w:asciiTheme="minorHAnsi" w:hAnsiTheme="minorHAnsi"/>
          <w:b/>
          <w:bCs/>
          <w:i/>
          <w:sz w:val="24"/>
          <w:szCs w:val="24"/>
        </w:rPr>
        <w:t>Amount Spent on Christmas and Holiday Gifts.</w:t>
      </w:r>
      <w:r w:rsidRPr="00DD7B99">
        <w:rPr>
          <w:rFonts w:asciiTheme="minorHAnsi" w:hAnsiTheme="minorHAnsi"/>
          <w:bCs/>
          <w:sz w:val="24"/>
          <w:szCs w:val="24"/>
        </w:rPr>
        <w:t xml:space="preserve">     Local consumers were also asked to estimate the amount of money they expect to spend on Christmas and holiday gifts this year.  </w:t>
      </w:r>
      <w:r w:rsidR="009D2ED6">
        <w:rPr>
          <w:rFonts w:asciiTheme="minorHAnsi" w:hAnsiTheme="minorHAnsi"/>
          <w:bCs/>
          <w:sz w:val="24"/>
          <w:szCs w:val="24"/>
        </w:rPr>
        <w:t xml:space="preserve">Almost half (46%) of all local </w:t>
      </w:r>
      <w:r w:rsidRPr="00DD7B99">
        <w:rPr>
          <w:rFonts w:asciiTheme="minorHAnsi" w:hAnsiTheme="minorHAnsi"/>
          <w:bCs/>
          <w:sz w:val="24"/>
          <w:szCs w:val="24"/>
        </w:rPr>
        <w:t xml:space="preserve">consumers expect to spend </w:t>
      </w:r>
      <w:r w:rsidR="009D2ED6">
        <w:rPr>
          <w:rFonts w:asciiTheme="minorHAnsi" w:hAnsiTheme="minorHAnsi"/>
          <w:bCs/>
          <w:sz w:val="24"/>
          <w:szCs w:val="24"/>
        </w:rPr>
        <w:t>more than $500</w:t>
      </w:r>
      <w:r w:rsidRPr="00DD7B99">
        <w:rPr>
          <w:rFonts w:asciiTheme="minorHAnsi" w:hAnsiTheme="minorHAnsi"/>
          <w:bCs/>
          <w:sz w:val="24"/>
          <w:szCs w:val="24"/>
        </w:rPr>
        <w:t xml:space="preserve">.  </w:t>
      </w:r>
      <w:r w:rsidR="009D2ED6">
        <w:rPr>
          <w:rFonts w:asciiTheme="minorHAnsi" w:hAnsiTheme="minorHAnsi"/>
          <w:bCs/>
          <w:sz w:val="24"/>
          <w:szCs w:val="24"/>
        </w:rPr>
        <w:t xml:space="preserve">Further, </w:t>
      </w:r>
      <w:r w:rsidR="0022619B">
        <w:rPr>
          <w:rFonts w:asciiTheme="minorHAnsi" w:hAnsiTheme="minorHAnsi"/>
          <w:bCs/>
          <w:sz w:val="24"/>
          <w:szCs w:val="24"/>
        </w:rPr>
        <w:t xml:space="preserve">almost one in four local consumers </w:t>
      </w:r>
      <w:r w:rsidR="009D2ED6">
        <w:rPr>
          <w:rFonts w:asciiTheme="minorHAnsi" w:hAnsiTheme="minorHAnsi"/>
          <w:bCs/>
          <w:sz w:val="24"/>
          <w:szCs w:val="24"/>
        </w:rPr>
        <w:t xml:space="preserve">(23%) </w:t>
      </w:r>
      <w:r>
        <w:rPr>
          <w:rFonts w:asciiTheme="minorHAnsi" w:hAnsiTheme="minorHAnsi"/>
          <w:bCs/>
          <w:sz w:val="24"/>
          <w:szCs w:val="24"/>
        </w:rPr>
        <w:t>expect</w:t>
      </w:r>
      <w:r w:rsidR="0022619B">
        <w:rPr>
          <w:rFonts w:asciiTheme="minorHAnsi" w:hAnsiTheme="minorHAnsi"/>
          <w:bCs/>
          <w:sz w:val="24"/>
          <w:szCs w:val="24"/>
        </w:rPr>
        <w:t>s</w:t>
      </w:r>
      <w:r>
        <w:rPr>
          <w:rFonts w:asciiTheme="minorHAnsi" w:hAnsiTheme="minorHAnsi"/>
          <w:bCs/>
          <w:sz w:val="24"/>
          <w:szCs w:val="24"/>
        </w:rPr>
        <w:t xml:space="preserve"> to spend more than $1,000</w:t>
      </w:r>
      <w:r w:rsidR="0022619B">
        <w:rPr>
          <w:rFonts w:asciiTheme="minorHAnsi" w:hAnsiTheme="minorHAnsi"/>
          <w:bCs/>
          <w:sz w:val="24"/>
          <w:szCs w:val="24"/>
        </w:rPr>
        <w:t xml:space="preserve">, up from 19 percent </w:t>
      </w:r>
      <w:r>
        <w:rPr>
          <w:rFonts w:asciiTheme="minorHAnsi" w:hAnsiTheme="minorHAnsi"/>
          <w:bCs/>
          <w:sz w:val="24"/>
          <w:szCs w:val="24"/>
        </w:rPr>
        <w:t>last year.</w:t>
      </w:r>
    </w:p>
    <w:p w:rsidR="00344F23" w:rsidRDefault="00344F23" w:rsidP="00344F23">
      <w:pPr>
        <w:pStyle w:val="BodyText"/>
        <w:jc w:val="both"/>
        <w:rPr>
          <w:rFonts w:asciiTheme="minorHAnsi" w:hAnsiTheme="minorHAnsi"/>
          <w:szCs w:val="24"/>
        </w:rPr>
      </w:pPr>
    </w:p>
    <w:p w:rsidR="00344F23" w:rsidRPr="00DD7B99" w:rsidRDefault="00344F23" w:rsidP="00344F23">
      <w:pPr>
        <w:pStyle w:val="BodyText"/>
        <w:jc w:val="both"/>
        <w:rPr>
          <w:rFonts w:asciiTheme="minorHAnsi" w:hAnsiTheme="minorHAnsi"/>
          <w:bCs/>
          <w:szCs w:val="24"/>
        </w:rPr>
      </w:pPr>
      <w:r w:rsidRPr="00DD7B99">
        <w:rPr>
          <w:rFonts w:asciiTheme="minorHAnsi" w:hAnsiTheme="minorHAnsi"/>
          <w:szCs w:val="24"/>
        </w:rPr>
        <w:t xml:space="preserve">     Results from a recent survey conducted by the Nat</w:t>
      </w:r>
      <w:r>
        <w:rPr>
          <w:rFonts w:asciiTheme="minorHAnsi" w:hAnsiTheme="minorHAnsi"/>
          <w:szCs w:val="24"/>
        </w:rPr>
        <w:t>ional Retail Federation suggest</w:t>
      </w:r>
      <w:r w:rsidRPr="00DD7B99">
        <w:rPr>
          <w:rFonts w:asciiTheme="minorHAnsi" w:hAnsiTheme="minorHAnsi"/>
          <w:szCs w:val="24"/>
        </w:rPr>
        <w:t xml:space="preserve"> that American families will spend an average of $</w:t>
      </w:r>
      <w:r w:rsidR="0089602C">
        <w:rPr>
          <w:rFonts w:asciiTheme="minorHAnsi" w:hAnsiTheme="minorHAnsi"/>
          <w:szCs w:val="24"/>
        </w:rPr>
        <w:t>804.42</w:t>
      </w:r>
      <w:r w:rsidRPr="00DD7B99">
        <w:rPr>
          <w:rFonts w:asciiTheme="minorHAnsi" w:hAnsiTheme="minorHAnsi"/>
          <w:szCs w:val="24"/>
        </w:rPr>
        <w:t xml:space="preserve"> on gifts, décor, greeting cards and more this holiday season.  This is </w:t>
      </w:r>
      <w:r w:rsidR="0089602C">
        <w:rPr>
          <w:rFonts w:asciiTheme="minorHAnsi" w:hAnsiTheme="minorHAnsi"/>
          <w:szCs w:val="24"/>
        </w:rPr>
        <w:t>up from last year’s actual amount spent of $767.27</w:t>
      </w:r>
      <w:r w:rsidRPr="00DD7B99">
        <w:rPr>
          <w:rStyle w:val="FootnoteReference"/>
          <w:rFonts w:asciiTheme="minorHAnsi" w:hAnsiTheme="minorHAnsi"/>
          <w:szCs w:val="24"/>
        </w:rPr>
        <w:footnoteReference w:id="4"/>
      </w:r>
    </w:p>
    <w:p w:rsidR="00344F23" w:rsidRDefault="00344F23" w:rsidP="00344F23">
      <w:pPr>
        <w:rPr>
          <w:b/>
          <w:bCs/>
          <w:sz w:val="24"/>
          <w:u w:val="single"/>
        </w:rPr>
      </w:pPr>
      <w:r w:rsidRPr="00877A8B">
        <w:rPr>
          <w:b/>
          <w:noProof/>
          <w:sz w:val="24"/>
        </w:rPr>
        <w:drawing>
          <wp:inline distT="0" distB="0" distL="0" distR="0" wp14:anchorId="2DF0C2A6" wp14:editId="0868290F">
            <wp:extent cx="5223053" cy="3818534"/>
            <wp:effectExtent l="0" t="0" r="0" b="0"/>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5403" w:rsidRPr="000D12D0" w:rsidRDefault="00344F23" w:rsidP="00915403">
      <w:pPr>
        <w:rPr>
          <w:rFonts w:asciiTheme="minorHAnsi" w:hAnsiTheme="minorHAnsi"/>
          <w:b/>
          <w:bCs/>
          <w:sz w:val="28"/>
          <w:szCs w:val="28"/>
          <w:u w:val="single"/>
        </w:rPr>
      </w:pPr>
      <w:r>
        <w:rPr>
          <w:rFonts w:asciiTheme="minorHAnsi" w:hAnsiTheme="minorHAnsi"/>
          <w:b/>
          <w:bCs/>
          <w:sz w:val="28"/>
          <w:szCs w:val="28"/>
          <w:u w:val="single"/>
        </w:rPr>
        <w:br w:type="column"/>
      </w:r>
      <w:r w:rsidR="00915403" w:rsidRPr="000D12D0">
        <w:rPr>
          <w:rFonts w:asciiTheme="minorHAnsi" w:hAnsiTheme="minorHAnsi"/>
          <w:b/>
          <w:bCs/>
          <w:sz w:val="28"/>
          <w:szCs w:val="28"/>
          <w:u w:val="single"/>
        </w:rPr>
        <w:lastRenderedPageBreak/>
        <w:t>Perceptions of the Economy:  Comparison to The Nation</w:t>
      </w:r>
    </w:p>
    <w:p w:rsidR="00915403" w:rsidRPr="00A16353" w:rsidRDefault="00915403" w:rsidP="00915403">
      <w:pPr>
        <w:rPr>
          <w:rFonts w:asciiTheme="minorHAnsi" w:hAnsiTheme="minorHAnsi"/>
          <w:b/>
          <w:bCs/>
          <w:sz w:val="24"/>
          <w:u w:val="single"/>
        </w:rPr>
      </w:pPr>
    </w:p>
    <w:p w:rsidR="00915403" w:rsidRDefault="00915403" w:rsidP="00915403">
      <w:pPr>
        <w:pStyle w:val="BodyText"/>
        <w:jc w:val="both"/>
        <w:rPr>
          <w:rFonts w:asciiTheme="minorHAnsi" w:hAnsiTheme="minorHAnsi"/>
        </w:rPr>
      </w:pPr>
      <w:r w:rsidRPr="00A16353">
        <w:rPr>
          <w:rFonts w:asciiTheme="minorHAnsi" w:hAnsiTheme="minorHAnsi"/>
        </w:rPr>
        <w:t xml:space="preserve">     </w:t>
      </w:r>
      <w:r w:rsidR="002C318D">
        <w:rPr>
          <w:rFonts w:asciiTheme="minorHAnsi" w:hAnsiTheme="minorHAnsi"/>
        </w:rPr>
        <w:t xml:space="preserve">While local consumers </w:t>
      </w:r>
      <w:r w:rsidR="00654499">
        <w:rPr>
          <w:rFonts w:asciiTheme="minorHAnsi" w:hAnsiTheme="minorHAnsi"/>
        </w:rPr>
        <w:t xml:space="preserve">have some similar views of the economy as compared to </w:t>
      </w:r>
      <w:r>
        <w:rPr>
          <w:rFonts w:asciiTheme="minorHAnsi" w:hAnsiTheme="minorHAnsi"/>
        </w:rPr>
        <w:t>consumers across the rest of the country</w:t>
      </w:r>
      <w:r w:rsidR="00654499">
        <w:rPr>
          <w:rFonts w:asciiTheme="minorHAnsi" w:hAnsiTheme="minorHAnsi"/>
        </w:rPr>
        <w:t xml:space="preserve">, local consumers are noticeable more optimistic about the future of the </w:t>
      </w:r>
      <w:r w:rsidR="00EE00BA">
        <w:rPr>
          <w:rFonts w:asciiTheme="minorHAnsi" w:hAnsiTheme="minorHAnsi"/>
        </w:rPr>
        <w:t xml:space="preserve">U.S. economy, the future of the </w:t>
      </w:r>
      <w:r w:rsidR="00654499">
        <w:rPr>
          <w:rFonts w:asciiTheme="minorHAnsi" w:hAnsiTheme="minorHAnsi"/>
        </w:rPr>
        <w:t>job market</w:t>
      </w:r>
      <w:r w:rsidR="00EE00BA">
        <w:rPr>
          <w:rFonts w:asciiTheme="minorHAnsi" w:hAnsiTheme="minorHAnsi"/>
        </w:rPr>
        <w:t>,</w:t>
      </w:r>
      <w:r w:rsidR="00654499">
        <w:rPr>
          <w:rFonts w:asciiTheme="minorHAnsi" w:hAnsiTheme="minorHAnsi"/>
        </w:rPr>
        <w:t xml:space="preserve"> and the future of their personal finances</w:t>
      </w:r>
      <w:r>
        <w:rPr>
          <w:rFonts w:asciiTheme="minorHAnsi" w:hAnsiTheme="minorHAnsi"/>
        </w:rPr>
        <w:t xml:space="preserve">.  </w:t>
      </w:r>
    </w:p>
    <w:p w:rsidR="00915403" w:rsidRPr="00A16353" w:rsidRDefault="00915403" w:rsidP="00915403">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915403" w:rsidRPr="00A16353" w:rsidTr="00B0710E">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915403" w:rsidRPr="00851542" w:rsidRDefault="00915403" w:rsidP="00B0710E">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915403" w:rsidRPr="00851542" w:rsidRDefault="00915403" w:rsidP="00B0710E">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915403" w:rsidRPr="00851542" w:rsidRDefault="00915403" w:rsidP="00B0710E">
            <w:pPr>
              <w:jc w:val="center"/>
              <w:rPr>
                <w:rFonts w:asciiTheme="minorHAnsi" w:hAnsiTheme="minorHAnsi"/>
                <w:bCs/>
                <w:sz w:val="24"/>
                <w:szCs w:val="24"/>
              </w:rPr>
            </w:pP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Nation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Mid.</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Tenn.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r>
      <w:tr w:rsidR="00915403" w:rsidRPr="00A16353" w:rsidTr="00B0710E">
        <w:tc>
          <w:tcPr>
            <w:tcW w:w="6948" w:type="dxa"/>
            <w:tcBorders>
              <w:top w:val="single" w:sz="4" w:space="0" w:color="auto"/>
            </w:tcBorders>
          </w:tcPr>
          <w:p w:rsidR="00915403" w:rsidRPr="00A16353" w:rsidRDefault="00915403" w:rsidP="00B0710E">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915403" w:rsidRPr="00A16353" w:rsidRDefault="00915403" w:rsidP="00F863C8">
            <w:pPr>
              <w:jc w:val="center"/>
              <w:rPr>
                <w:rFonts w:asciiTheme="minorHAnsi" w:hAnsiTheme="minorHAnsi"/>
                <w:b/>
                <w:sz w:val="24"/>
              </w:rPr>
            </w:pPr>
            <w:r>
              <w:rPr>
                <w:rFonts w:asciiTheme="minorHAnsi" w:hAnsiTheme="minorHAnsi"/>
                <w:b/>
                <w:sz w:val="24"/>
              </w:rPr>
              <w:t>2</w:t>
            </w:r>
            <w:r w:rsidR="00F863C8">
              <w:rPr>
                <w:rFonts w:asciiTheme="minorHAnsi" w:hAnsiTheme="minorHAnsi"/>
                <w:b/>
                <w:sz w:val="24"/>
              </w:rPr>
              <w:t>4</w:t>
            </w:r>
            <w:r w:rsidRPr="00A16353">
              <w:rPr>
                <w:rStyle w:val="FootnoteReference"/>
                <w:rFonts w:asciiTheme="minorHAnsi" w:hAnsiTheme="minorHAnsi"/>
                <w:b/>
                <w:sz w:val="24"/>
              </w:rPr>
              <w:footnoteReference w:id="5"/>
            </w:r>
          </w:p>
        </w:tc>
        <w:tc>
          <w:tcPr>
            <w:tcW w:w="1008" w:type="dxa"/>
            <w:tcBorders>
              <w:top w:val="single" w:sz="4" w:space="0" w:color="auto"/>
            </w:tcBorders>
          </w:tcPr>
          <w:p w:rsidR="00915403" w:rsidRPr="00A16353" w:rsidRDefault="0024004A" w:rsidP="00B0710E">
            <w:pPr>
              <w:jc w:val="center"/>
              <w:rPr>
                <w:rFonts w:asciiTheme="minorHAnsi" w:hAnsiTheme="minorHAnsi"/>
                <w:b/>
                <w:sz w:val="24"/>
              </w:rPr>
            </w:pPr>
            <w:r>
              <w:rPr>
                <w:rFonts w:asciiTheme="minorHAnsi" w:hAnsiTheme="minorHAnsi"/>
                <w:b/>
                <w:sz w:val="24"/>
              </w:rPr>
              <w:t>27</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915403" w:rsidRPr="00A16353" w:rsidRDefault="000C7541" w:rsidP="000C7541">
            <w:pPr>
              <w:jc w:val="center"/>
              <w:rPr>
                <w:rFonts w:asciiTheme="minorHAnsi" w:hAnsiTheme="minorHAnsi"/>
                <w:b/>
                <w:sz w:val="24"/>
              </w:rPr>
            </w:pPr>
            <w:r>
              <w:rPr>
                <w:rFonts w:asciiTheme="minorHAnsi" w:hAnsiTheme="minorHAnsi"/>
                <w:b/>
                <w:sz w:val="24"/>
              </w:rPr>
              <w:t>18</w:t>
            </w:r>
          </w:p>
        </w:tc>
        <w:tc>
          <w:tcPr>
            <w:tcW w:w="1008" w:type="dxa"/>
            <w:shd w:val="clear" w:color="auto" w:fill="DBE5F1" w:themeFill="accent1" w:themeFillTint="33"/>
          </w:tcPr>
          <w:p w:rsidR="00915403" w:rsidRPr="00A16353" w:rsidRDefault="0024004A" w:rsidP="00B0710E">
            <w:pPr>
              <w:jc w:val="center"/>
              <w:rPr>
                <w:rFonts w:asciiTheme="minorHAnsi" w:hAnsiTheme="minorHAnsi"/>
                <w:b/>
                <w:sz w:val="24"/>
              </w:rPr>
            </w:pPr>
            <w:r>
              <w:rPr>
                <w:rFonts w:asciiTheme="minorHAnsi" w:hAnsiTheme="minorHAnsi"/>
                <w:b/>
                <w:sz w:val="24"/>
              </w:rPr>
              <w:t>33</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Jobs are easy to find (plentiful).</w:t>
            </w:r>
          </w:p>
        </w:tc>
        <w:tc>
          <w:tcPr>
            <w:tcW w:w="900" w:type="dxa"/>
          </w:tcPr>
          <w:p w:rsidR="00915403" w:rsidRPr="00A16353" w:rsidRDefault="00915403" w:rsidP="000C7541">
            <w:pPr>
              <w:jc w:val="center"/>
              <w:rPr>
                <w:rFonts w:asciiTheme="minorHAnsi" w:hAnsiTheme="minorHAnsi"/>
                <w:b/>
                <w:sz w:val="24"/>
              </w:rPr>
            </w:pPr>
            <w:r>
              <w:rPr>
                <w:rFonts w:asciiTheme="minorHAnsi" w:hAnsiTheme="minorHAnsi"/>
                <w:b/>
                <w:sz w:val="24"/>
              </w:rPr>
              <w:t>1</w:t>
            </w:r>
            <w:r w:rsidR="000C7541">
              <w:rPr>
                <w:rFonts w:asciiTheme="minorHAnsi" w:hAnsiTheme="minorHAnsi"/>
                <w:b/>
                <w:sz w:val="24"/>
              </w:rPr>
              <w:t>6</w:t>
            </w:r>
          </w:p>
        </w:tc>
        <w:tc>
          <w:tcPr>
            <w:tcW w:w="1008" w:type="dxa"/>
          </w:tcPr>
          <w:p w:rsidR="00915403" w:rsidRPr="00A16353" w:rsidRDefault="0024004A" w:rsidP="00B0710E">
            <w:pPr>
              <w:jc w:val="center"/>
              <w:rPr>
                <w:rFonts w:asciiTheme="minorHAnsi" w:hAnsiTheme="minorHAnsi"/>
                <w:b/>
                <w:sz w:val="24"/>
              </w:rPr>
            </w:pPr>
            <w:r>
              <w:rPr>
                <w:rFonts w:asciiTheme="minorHAnsi" w:hAnsiTheme="minorHAnsi"/>
                <w:b/>
                <w:sz w:val="24"/>
              </w:rPr>
              <w:t>16</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915403" w:rsidRPr="00A16353" w:rsidRDefault="00915403" w:rsidP="000C7541">
            <w:pPr>
              <w:jc w:val="center"/>
              <w:rPr>
                <w:rFonts w:asciiTheme="minorHAnsi" w:hAnsiTheme="minorHAnsi"/>
                <w:b/>
                <w:sz w:val="24"/>
              </w:rPr>
            </w:pPr>
            <w:r>
              <w:rPr>
                <w:rFonts w:asciiTheme="minorHAnsi" w:hAnsiTheme="minorHAnsi"/>
                <w:b/>
                <w:sz w:val="24"/>
              </w:rPr>
              <w:t>1</w:t>
            </w:r>
            <w:r w:rsidR="000C7541">
              <w:rPr>
                <w:rFonts w:asciiTheme="minorHAnsi" w:hAnsiTheme="minorHAnsi"/>
                <w:b/>
                <w:sz w:val="24"/>
              </w:rPr>
              <w:t>5</w:t>
            </w:r>
          </w:p>
        </w:tc>
        <w:tc>
          <w:tcPr>
            <w:tcW w:w="1008" w:type="dxa"/>
            <w:shd w:val="clear" w:color="auto" w:fill="DBE5F1" w:themeFill="accent1" w:themeFillTint="33"/>
          </w:tcPr>
          <w:p w:rsidR="00915403" w:rsidRPr="00A16353" w:rsidRDefault="0024004A" w:rsidP="00B0710E">
            <w:pPr>
              <w:jc w:val="center"/>
              <w:rPr>
                <w:rFonts w:asciiTheme="minorHAnsi" w:hAnsiTheme="minorHAnsi"/>
                <w:b/>
                <w:sz w:val="24"/>
              </w:rPr>
            </w:pPr>
            <w:r>
              <w:rPr>
                <w:rFonts w:asciiTheme="minorHAnsi" w:hAnsiTheme="minorHAnsi"/>
                <w:b/>
                <w:sz w:val="24"/>
              </w:rPr>
              <w:t>43</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915403" w:rsidRPr="00A16353" w:rsidRDefault="00915403" w:rsidP="00F863C8">
            <w:pPr>
              <w:jc w:val="center"/>
              <w:rPr>
                <w:rFonts w:asciiTheme="minorHAnsi" w:hAnsiTheme="minorHAnsi"/>
                <w:b/>
                <w:sz w:val="24"/>
              </w:rPr>
            </w:pPr>
            <w:r>
              <w:rPr>
                <w:rFonts w:asciiTheme="minorHAnsi" w:hAnsiTheme="minorHAnsi"/>
                <w:b/>
                <w:sz w:val="24"/>
              </w:rPr>
              <w:t>1</w:t>
            </w:r>
            <w:r w:rsidR="00F863C8">
              <w:rPr>
                <w:rFonts w:asciiTheme="minorHAnsi" w:hAnsiTheme="minorHAnsi"/>
                <w:b/>
                <w:sz w:val="24"/>
              </w:rPr>
              <w:t>6</w:t>
            </w:r>
          </w:p>
        </w:tc>
        <w:tc>
          <w:tcPr>
            <w:tcW w:w="1008" w:type="dxa"/>
          </w:tcPr>
          <w:p w:rsidR="00915403" w:rsidRPr="00A16353" w:rsidRDefault="0024004A" w:rsidP="00B0710E">
            <w:pPr>
              <w:jc w:val="center"/>
              <w:rPr>
                <w:rFonts w:asciiTheme="minorHAnsi" w:hAnsiTheme="minorHAnsi"/>
                <w:b/>
                <w:sz w:val="24"/>
              </w:rPr>
            </w:pPr>
            <w:r>
              <w:rPr>
                <w:rFonts w:asciiTheme="minorHAnsi" w:hAnsiTheme="minorHAnsi"/>
                <w:b/>
                <w:sz w:val="24"/>
              </w:rPr>
              <w:t>41</w:t>
            </w:r>
          </w:p>
        </w:tc>
      </w:tr>
    </w:tbl>
    <w:p w:rsidR="00915403" w:rsidRDefault="00915403" w:rsidP="00915403">
      <w:pPr>
        <w:pStyle w:val="BodyText"/>
        <w:jc w:val="both"/>
        <w:rPr>
          <w:rFonts w:asciiTheme="minorHAnsi" w:hAnsiTheme="minorHAnsi"/>
          <w:b/>
          <w:bCs/>
          <w:u w:val="single"/>
        </w:rPr>
      </w:pPr>
    </w:p>
    <w:p w:rsidR="00915403" w:rsidRDefault="00915403" w:rsidP="00B661BD">
      <w:pPr>
        <w:pStyle w:val="BodyText"/>
        <w:jc w:val="both"/>
        <w:rPr>
          <w:rFonts w:asciiTheme="minorHAnsi" w:hAnsiTheme="minorHAnsi"/>
          <w:bCs/>
        </w:rPr>
      </w:pPr>
    </w:p>
    <w:p w:rsidR="0070722D" w:rsidRDefault="0070722D" w:rsidP="00B661BD">
      <w:pPr>
        <w:pStyle w:val="BodyText"/>
        <w:jc w:val="both"/>
        <w:rPr>
          <w:rFonts w:asciiTheme="minorHAnsi" w:hAnsiTheme="minorHAnsi"/>
          <w:b/>
          <w:bCs/>
          <w:sz w:val="28"/>
          <w:szCs w:val="28"/>
        </w:rPr>
      </w:pPr>
    </w:p>
    <w:p w:rsidR="00481431" w:rsidRPr="00546A3A" w:rsidRDefault="00481431" w:rsidP="0070722D">
      <w:pPr>
        <w:jc w:val="cente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D22EFC">
        <w:rPr>
          <w:rFonts w:asciiTheme="minorHAnsi" w:hAnsiTheme="minorHAnsi"/>
          <w:bCs/>
          <w:sz w:val="24"/>
        </w:rPr>
        <w:t>September</w:t>
      </w:r>
      <w:r w:rsidR="00BC5130">
        <w:rPr>
          <w:rFonts w:asciiTheme="minorHAnsi" w:hAnsiTheme="minorHAnsi"/>
          <w:bCs/>
          <w:sz w:val="24"/>
        </w:rPr>
        <w:t xml:space="preserve">, </w:t>
      </w:r>
      <w:r>
        <w:rPr>
          <w:rFonts w:asciiTheme="minorHAnsi" w:hAnsiTheme="minorHAnsi"/>
          <w:bCs/>
          <w:sz w:val="24"/>
        </w:rPr>
        <w:t>201</w:t>
      </w:r>
      <w:r w:rsidR="000A4BFC">
        <w:rPr>
          <w:rFonts w:asciiTheme="minorHAnsi" w:hAnsiTheme="minorHAnsi"/>
          <w:bCs/>
          <w:sz w:val="24"/>
        </w:rPr>
        <w:t>4</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ayout w:type="fixed"/>
        <w:tblLook w:val="04A0" w:firstRow="1" w:lastRow="0" w:firstColumn="1" w:lastColumn="0" w:noHBand="0" w:noVBand="1"/>
      </w:tblPr>
      <w:tblGrid>
        <w:gridCol w:w="5958"/>
        <w:gridCol w:w="1350"/>
        <w:gridCol w:w="1548"/>
      </w:tblGrid>
      <w:tr w:rsidR="00481431" w:rsidRPr="00A16353" w:rsidTr="00C25C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58" w:type="dxa"/>
          </w:tcPr>
          <w:p w:rsidR="00481431" w:rsidRPr="00481431" w:rsidRDefault="00481431" w:rsidP="001A1A56">
            <w:pPr>
              <w:jc w:val="center"/>
              <w:rPr>
                <w:rFonts w:asciiTheme="minorHAnsi" w:hAnsiTheme="minorHAnsi"/>
                <w:b w:val="0"/>
                <w:sz w:val="16"/>
                <w:szCs w:val="16"/>
              </w:rPr>
            </w:pPr>
          </w:p>
        </w:tc>
        <w:tc>
          <w:tcPr>
            <w:tcW w:w="1350" w:type="dxa"/>
          </w:tcPr>
          <w:p w:rsidR="0082033A" w:rsidRDefault="000C754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December</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BE255B">
              <w:rPr>
                <w:rFonts w:asciiTheme="minorHAnsi" w:hAnsiTheme="minorHAnsi"/>
                <w:sz w:val="24"/>
                <w:szCs w:val="24"/>
              </w:rPr>
              <w:t>4</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548" w:type="dxa"/>
          </w:tcPr>
          <w:p w:rsidR="00481431" w:rsidRPr="008D70F0" w:rsidRDefault="00481431" w:rsidP="000C75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0C7541">
              <w:rPr>
                <w:rFonts w:asciiTheme="minorHAnsi" w:hAnsiTheme="minorHAnsi"/>
                <w:sz w:val="24"/>
                <w:szCs w:val="24"/>
              </w:rPr>
              <w:t>September</w:t>
            </w:r>
            <w:r w:rsidR="00985C05">
              <w:rPr>
                <w:rFonts w:asciiTheme="minorHAnsi" w:hAnsiTheme="minorHAnsi"/>
                <w:sz w:val="24"/>
                <w:szCs w:val="24"/>
              </w:rPr>
              <w:t xml:space="preserve"> </w:t>
            </w:r>
            <w:r w:rsidRPr="008D70F0">
              <w:rPr>
                <w:rFonts w:asciiTheme="minorHAnsi" w:hAnsiTheme="minorHAnsi"/>
                <w:sz w:val="24"/>
                <w:szCs w:val="24"/>
              </w:rPr>
              <w:t>201</w:t>
            </w:r>
            <w:r w:rsidR="000A4BFC">
              <w:rPr>
                <w:rFonts w:asciiTheme="minorHAnsi" w:hAnsiTheme="minorHAnsi"/>
                <w:sz w:val="24"/>
                <w:szCs w:val="24"/>
              </w:rPr>
              <w:t>4</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the U.S.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24004A"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27</w:t>
            </w:r>
          </w:p>
        </w:tc>
        <w:tc>
          <w:tcPr>
            <w:tcW w:w="1548" w:type="dxa"/>
            <w:vAlign w:val="center"/>
          </w:tcPr>
          <w:p w:rsidR="00481431" w:rsidRPr="00481431" w:rsidRDefault="00CE3C80" w:rsidP="00E26B7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0064" behindDoc="0" locked="0" layoutInCell="1" allowOverlap="1" wp14:anchorId="266CC236" wp14:editId="356349AA">
                      <wp:simplePos x="0" y="0"/>
                      <wp:positionH relativeFrom="column">
                        <wp:posOffset>299720</wp:posOffset>
                      </wp:positionH>
                      <wp:positionV relativeFrom="paragraph">
                        <wp:posOffset>-22225</wp:posOffset>
                      </wp:positionV>
                      <wp:extent cx="178435" cy="281305"/>
                      <wp:effectExtent l="0" t="0" r="0" b="4445"/>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6pt;margin-top:-1.75pt;width:14.05pt;height:22.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dg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" fillcolor="#00b050" stroked="f"/>
                  </w:pict>
                </mc:Fallback>
              </mc:AlternateContent>
            </w:r>
            <w:r w:rsidR="00E26B73">
              <w:rPr>
                <w:rFonts w:asciiTheme="minorHAnsi" w:hAnsiTheme="minorHAnsi"/>
                <w:b/>
                <w:sz w:val="24"/>
                <w:szCs w:val="24"/>
              </w:rPr>
              <w:t>6</w:t>
            </w:r>
            <w:r w:rsidR="00AF02C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the U.S.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24004A"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548" w:type="dxa"/>
            <w:vAlign w:val="center"/>
          </w:tcPr>
          <w:p w:rsidR="00481431" w:rsidRPr="00481431" w:rsidRDefault="00E26B73" w:rsidP="00E26B7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43072" behindDoc="0" locked="0" layoutInCell="1" allowOverlap="1" wp14:anchorId="55519207" wp14:editId="355C0BA8">
                      <wp:simplePos x="0" y="0"/>
                      <wp:positionH relativeFrom="column">
                        <wp:posOffset>299720</wp:posOffset>
                      </wp:positionH>
                      <wp:positionV relativeFrom="paragraph">
                        <wp:posOffset>-10795</wp:posOffset>
                      </wp:positionV>
                      <wp:extent cx="178435" cy="281305"/>
                      <wp:effectExtent l="0" t="0" r="0" b="4445"/>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6pt;margin-top:-.85pt;width:14.05pt;height:22.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" fillcolor="#00b050" stroked="f"/>
                  </w:pict>
                </mc:Fallback>
              </mc:AlternateContent>
            </w:r>
            <w:r>
              <w:rPr>
                <w:rFonts w:asciiTheme="minorHAnsi" w:hAnsiTheme="minorHAnsi"/>
                <w:b/>
                <w:sz w:val="24"/>
                <w:szCs w:val="24"/>
              </w:rPr>
              <w:t>11</w:t>
            </w:r>
            <w:r w:rsidR="00BB1BA0">
              <w:rPr>
                <w:rFonts w:asciiTheme="minorHAnsi" w:hAnsiTheme="minorHAnsi"/>
                <w:b/>
                <w:sz w:val="24"/>
                <w:szCs w:val="24"/>
              </w:rPr>
              <w:t xml:space="preserve">% </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Middle Tennessee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24004A"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60</w:t>
            </w:r>
          </w:p>
        </w:tc>
        <w:tc>
          <w:tcPr>
            <w:tcW w:w="1548" w:type="dxa"/>
            <w:vAlign w:val="center"/>
          </w:tcPr>
          <w:p w:rsidR="00481431" w:rsidRPr="00481431" w:rsidRDefault="008226C7" w:rsidP="00E26B7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30784" behindDoc="0" locked="0" layoutInCell="1" allowOverlap="1" wp14:anchorId="62A12CE1" wp14:editId="5C43A6FA">
                      <wp:simplePos x="0" y="0"/>
                      <wp:positionH relativeFrom="column">
                        <wp:posOffset>299720</wp:posOffset>
                      </wp:positionH>
                      <wp:positionV relativeFrom="paragraph">
                        <wp:posOffset>-48895</wp:posOffset>
                      </wp:positionV>
                      <wp:extent cx="178435" cy="281305"/>
                      <wp:effectExtent l="0" t="0" r="0" b="4445"/>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6pt;margin-top:-3.85pt;width:14.05pt;height:22.1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OQ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" fillcolor="#00b050" stroked="f"/>
                  </w:pict>
                </mc:Fallback>
              </mc:AlternateContent>
            </w:r>
            <w:r w:rsidR="00E26B73">
              <w:rPr>
                <w:rFonts w:asciiTheme="minorHAnsi" w:hAnsiTheme="minorHAnsi"/>
                <w:b/>
                <w:sz w:val="24"/>
                <w:szCs w:val="24"/>
              </w:rPr>
              <w:t>9</w:t>
            </w:r>
            <w:r w:rsidR="00481431" w:rsidRPr="00481431">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Middle Tennessee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24004A"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45</w:t>
            </w:r>
          </w:p>
        </w:tc>
        <w:tc>
          <w:tcPr>
            <w:tcW w:w="1548" w:type="dxa"/>
            <w:vAlign w:val="center"/>
          </w:tcPr>
          <w:p w:rsidR="00481431" w:rsidRPr="00481431" w:rsidRDefault="00E26B73" w:rsidP="008226C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45120" behindDoc="0" locked="0" layoutInCell="1" allowOverlap="1" wp14:anchorId="55519207" wp14:editId="355C0BA8">
                      <wp:simplePos x="0" y="0"/>
                      <wp:positionH relativeFrom="column">
                        <wp:posOffset>301625</wp:posOffset>
                      </wp:positionH>
                      <wp:positionV relativeFrom="paragraph">
                        <wp:posOffset>-85090</wp:posOffset>
                      </wp:positionV>
                      <wp:extent cx="178435" cy="281305"/>
                      <wp:effectExtent l="0" t="0" r="0" b="4445"/>
                      <wp:wrapNone/>
                      <wp:docPr id="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75pt;margin-top:-6.7pt;width:14.05pt;height:22.1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1b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" fillcolor="#00b050" stroked="f"/>
                  </w:pict>
                </mc:Fallback>
              </mc:AlternateContent>
            </w:r>
            <w:r>
              <w:rPr>
                <w:rFonts w:asciiTheme="minorHAnsi" w:hAnsiTheme="minorHAnsi"/>
                <w:b/>
                <w:sz w:val="24"/>
                <w:szCs w:val="24"/>
              </w:rPr>
              <w:t>12%</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Jobs in Middle Tennessee are </w:t>
            </w:r>
            <w:r w:rsidRPr="00C25C98">
              <w:rPr>
                <w:rFonts w:asciiTheme="minorHAnsi" w:hAnsiTheme="minorHAnsi"/>
                <w:sz w:val="22"/>
                <w:szCs w:val="22"/>
                <w:u w:val="single"/>
              </w:rPr>
              <w:t>Easy To Find</w:t>
            </w:r>
            <w:r w:rsidRPr="00C25C98">
              <w:rPr>
                <w:rFonts w:asciiTheme="minorHAnsi" w:hAnsiTheme="minorHAnsi"/>
                <w:sz w:val="22"/>
                <w:szCs w:val="22"/>
              </w:rPr>
              <w:t>.</w:t>
            </w:r>
          </w:p>
        </w:tc>
        <w:tc>
          <w:tcPr>
            <w:tcW w:w="1350" w:type="dxa"/>
            <w:vAlign w:val="center"/>
          </w:tcPr>
          <w:p w:rsidR="00481431" w:rsidRPr="00481431" w:rsidRDefault="0024004A"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16</w:t>
            </w:r>
          </w:p>
        </w:tc>
        <w:tc>
          <w:tcPr>
            <w:tcW w:w="1548" w:type="dxa"/>
            <w:vAlign w:val="center"/>
          </w:tcPr>
          <w:p w:rsidR="00481431" w:rsidRPr="00481431" w:rsidRDefault="00E26B73" w:rsidP="00E26B7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51264" behindDoc="0" locked="0" layoutInCell="1" allowOverlap="1" wp14:anchorId="55519207" wp14:editId="355C0BA8">
                      <wp:simplePos x="0" y="0"/>
                      <wp:positionH relativeFrom="column">
                        <wp:posOffset>299085</wp:posOffset>
                      </wp:positionH>
                      <wp:positionV relativeFrom="paragraph">
                        <wp:posOffset>-67310</wp:posOffset>
                      </wp:positionV>
                      <wp:extent cx="178435" cy="281305"/>
                      <wp:effectExtent l="0" t="0" r="0" b="444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55pt;margin-top:-5.3pt;width:14.05pt;height:22.1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" fillcolor="#00b050" stroked="f"/>
                  </w:pict>
                </mc:Fallback>
              </mc:AlternateContent>
            </w:r>
            <w:r>
              <w:rPr>
                <w:rFonts w:asciiTheme="minorHAnsi" w:hAnsiTheme="minorHAnsi"/>
                <w:b/>
                <w:sz w:val="24"/>
                <w:szCs w:val="24"/>
              </w:rPr>
              <w:t>2</w:t>
            </w:r>
            <w:r w:rsidR="00220A98">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there will be </w:t>
            </w:r>
            <w:r w:rsidRPr="00C25C98">
              <w:rPr>
                <w:rFonts w:asciiTheme="minorHAnsi" w:hAnsiTheme="minorHAnsi"/>
                <w:sz w:val="22"/>
                <w:szCs w:val="22"/>
                <w:u w:val="single"/>
              </w:rPr>
              <w:t>More Job Openings</w:t>
            </w:r>
            <w:r w:rsidRPr="00C25C98">
              <w:rPr>
                <w:rFonts w:asciiTheme="minorHAnsi" w:hAnsiTheme="minorHAnsi"/>
                <w:sz w:val="22"/>
                <w:szCs w:val="22"/>
              </w:rPr>
              <w:t xml:space="preserve"> in Middle Tennessee</w:t>
            </w:r>
          </w:p>
        </w:tc>
        <w:tc>
          <w:tcPr>
            <w:tcW w:w="1350" w:type="dxa"/>
            <w:vAlign w:val="center"/>
          </w:tcPr>
          <w:p w:rsidR="00481431" w:rsidRPr="00481431" w:rsidRDefault="0024004A"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43</w:t>
            </w:r>
          </w:p>
        </w:tc>
        <w:tc>
          <w:tcPr>
            <w:tcW w:w="1548" w:type="dxa"/>
            <w:vAlign w:val="center"/>
          </w:tcPr>
          <w:p w:rsidR="00481431" w:rsidRPr="00481431" w:rsidRDefault="008226C7"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34880" behindDoc="0" locked="0" layoutInCell="1" allowOverlap="1" wp14:anchorId="082CD41C" wp14:editId="3AD1F70F">
                      <wp:simplePos x="0" y="0"/>
                      <wp:positionH relativeFrom="column">
                        <wp:posOffset>316230</wp:posOffset>
                      </wp:positionH>
                      <wp:positionV relativeFrom="paragraph">
                        <wp:posOffset>122555</wp:posOffset>
                      </wp:positionV>
                      <wp:extent cx="178435" cy="281305"/>
                      <wp:effectExtent l="0" t="0" r="0" b="444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4.9pt;margin-top:9.65pt;width:14.05pt;height:22.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fbLQ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" fillcolor="#00b050" stroked="f"/>
                  </w:pict>
                </mc:Fallback>
              </mc:AlternateContent>
            </w:r>
          </w:p>
          <w:p w:rsidR="00481431" w:rsidRPr="00481431" w:rsidRDefault="00E26B73"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5</w:t>
            </w:r>
            <w:r w:rsidR="00481431"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I am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was one year ago.</w:t>
            </w:r>
          </w:p>
        </w:tc>
        <w:tc>
          <w:tcPr>
            <w:tcW w:w="1350" w:type="dxa"/>
            <w:vAlign w:val="center"/>
          </w:tcPr>
          <w:p w:rsidR="00481431" w:rsidRPr="00481431" w:rsidRDefault="0024004A"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30</w:t>
            </w:r>
          </w:p>
        </w:tc>
        <w:tc>
          <w:tcPr>
            <w:tcW w:w="1548" w:type="dxa"/>
            <w:vAlign w:val="center"/>
          </w:tcPr>
          <w:p w:rsidR="00481431" w:rsidRPr="00481431" w:rsidRDefault="00E26B73" w:rsidP="00E26B7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47168" behindDoc="0" locked="0" layoutInCell="1" allowOverlap="1" wp14:anchorId="5D4823CA" wp14:editId="3391EB21">
                      <wp:simplePos x="0" y="0"/>
                      <wp:positionH relativeFrom="column">
                        <wp:posOffset>301625</wp:posOffset>
                      </wp:positionH>
                      <wp:positionV relativeFrom="paragraph">
                        <wp:posOffset>-90170</wp:posOffset>
                      </wp:positionV>
                      <wp:extent cx="178435" cy="281305"/>
                      <wp:effectExtent l="0" t="0" r="0" b="4445"/>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75pt;margin-top:-7.1pt;width:14.05pt;height:22.1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" fillcolor="#00b050" stroked="f"/>
                  </w:pict>
                </mc:Fallback>
              </mc:AlternateContent>
            </w:r>
            <w:r>
              <w:rPr>
                <w:rFonts w:asciiTheme="minorHAnsi" w:hAnsiTheme="minorHAnsi"/>
                <w:b/>
                <w:sz w:val="24"/>
                <w:szCs w:val="24"/>
              </w:rPr>
              <w:t>5</w:t>
            </w:r>
            <w:r w:rsidR="00220A98">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12 months from now I will be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am today.</w:t>
            </w:r>
          </w:p>
        </w:tc>
        <w:tc>
          <w:tcPr>
            <w:tcW w:w="1350" w:type="dxa"/>
            <w:vAlign w:val="center"/>
          </w:tcPr>
          <w:p w:rsidR="00481431" w:rsidRPr="00481431" w:rsidRDefault="0024004A"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41</w:t>
            </w:r>
          </w:p>
        </w:tc>
        <w:tc>
          <w:tcPr>
            <w:tcW w:w="1548" w:type="dxa"/>
            <w:vAlign w:val="center"/>
          </w:tcPr>
          <w:p w:rsidR="00481431" w:rsidRPr="00481431" w:rsidRDefault="00E26B73" w:rsidP="00E26B7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49216" behindDoc="0" locked="0" layoutInCell="1" allowOverlap="1" wp14:anchorId="55519207" wp14:editId="355C0BA8">
                      <wp:simplePos x="0" y="0"/>
                      <wp:positionH relativeFrom="column">
                        <wp:posOffset>308610</wp:posOffset>
                      </wp:positionH>
                      <wp:positionV relativeFrom="paragraph">
                        <wp:posOffset>-75565</wp:posOffset>
                      </wp:positionV>
                      <wp:extent cx="178435" cy="281305"/>
                      <wp:effectExtent l="0" t="0" r="0" b="4445"/>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4.3pt;margin-top:-5.95pt;width:14.05pt;height:22.1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" fillcolor="#00b050" stroked="f"/>
                  </w:pict>
                </mc:Fallback>
              </mc:AlternateContent>
            </w:r>
            <w:r>
              <w:rPr>
                <w:rFonts w:asciiTheme="minorHAnsi" w:hAnsiTheme="minorHAnsi"/>
                <w:b/>
                <w:sz w:val="24"/>
                <w:szCs w:val="24"/>
              </w:rPr>
              <w:t>9</w:t>
            </w:r>
            <w:r w:rsidR="00481431" w:rsidRPr="00481431">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Make Large Purchases</w:t>
            </w:r>
            <w:r w:rsidRPr="00C25C98">
              <w:rPr>
                <w:rFonts w:asciiTheme="minorHAnsi" w:hAnsiTheme="minorHAnsi"/>
                <w:sz w:val="22"/>
                <w:szCs w:val="22"/>
              </w:rPr>
              <w:t>.</w:t>
            </w:r>
          </w:p>
        </w:tc>
        <w:tc>
          <w:tcPr>
            <w:tcW w:w="1350" w:type="dxa"/>
            <w:vAlign w:val="center"/>
          </w:tcPr>
          <w:p w:rsidR="00481431" w:rsidRPr="00481431" w:rsidRDefault="0024004A"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49</w:t>
            </w:r>
          </w:p>
        </w:tc>
        <w:tc>
          <w:tcPr>
            <w:tcW w:w="1548" w:type="dxa"/>
            <w:vAlign w:val="center"/>
          </w:tcPr>
          <w:p w:rsidR="00481431" w:rsidRPr="00481431" w:rsidRDefault="00E26B73" w:rsidP="00DF0F3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53312" behindDoc="0" locked="0" layoutInCell="1" allowOverlap="1" wp14:anchorId="55519207" wp14:editId="355C0BA8">
                      <wp:simplePos x="0" y="0"/>
                      <wp:positionH relativeFrom="column">
                        <wp:posOffset>311150</wp:posOffset>
                      </wp:positionH>
                      <wp:positionV relativeFrom="paragraph">
                        <wp:posOffset>-77470</wp:posOffset>
                      </wp:positionV>
                      <wp:extent cx="178435" cy="281305"/>
                      <wp:effectExtent l="0" t="0" r="0" b="444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4.5pt;margin-top:-6.1pt;width:14.05pt;height:22.1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42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mGnDOuw&#10;R7eHACk0KYpl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" fillcolor="#00b050" stroked="f"/>
                  </w:pict>
                </mc:Fallback>
              </mc:AlternateContent>
            </w:r>
            <w:r>
              <w:rPr>
                <w:rFonts w:asciiTheme="minorHAnsi" w:hAnsiTheme="minorHAnsi"/>
                <w:b/>
                <w:sz w:val="24"/>
                <w:szCs w:val="24"/>
              </w:rPr>
              <w:t>17%</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Home</w:t>
            </w:r>
            <w:r w:rsidRPr="00C25C98">
              <w:rPr>
                <w:rFonts w:asciiTheme="minorHAnsi" w:hAnsiTheme="minorHAnsi"/>
                <w:sz w:val="22"/>
                <w:szCs w:val="22"/>
              </w:rPr>
              <w:t>.</w:t>
            </w:r>
          </w:p>
        </w:tc>
        <w:tc>
          <w:tcPr>
            <w:tcW w:w="1350" w:type="dxa"/>
            <w:vAlign w:val="center"/>
          </w:tcPr>
          <w:p w:rsidR="00481431" w:rsidRPr="00481431" w:rsidRDefault="0024004A"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57</w:t>
            </w:r>
          </w:p>
        </w:tc>
        <w:tc>
          <w:tcPr>
            <w:tcW w:w="1548" w:type="dxa"/>
            <w:vAlign w:val="center"/>
          </w:tcPr>
          <w:p w:rsidR="00481431" w:rsidRPr="00481431" w:rsidRDefault="00E26B73" w:rsidP="00E26B73">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55360" behindDoc="0" locked="0" layoutInCell="1" allowOverlap="1" wp14:anchorId="55519207" wp14:editId="355C0BA8">
                      <wp:simplePos x="0" y="0"/>
                      <wp:positionH relativeFrom="column">
                        <wp:posOffset>301625</wp:posOffset>
                      </wp:positionH>
                      <wp:positionV relativeFrom="paragraph">
                        <wp:posOffset>-78105</wp:posOffset>
                      </wp:positionV>
                      <wp:extent cx="178435" cy="281305"/>
                      <wp:effectExtent l="0" t="0" r="0" b="444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75pt;margin-top:-6.15pt;width:14.05pt;height:22.1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P5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" fillcolor="#00b050" stroked="f"/>
                  </w:pict>
                </mc:Fallback>
              </mc:AlternateContent>
            </w:r>
            <w:r>
              <w:rPr>
                <w:rFonts w:asciiTheme="minorHAnsi" w:hAnsiTheme="minorHAnsi"/>
                <w:b/>
                <w:sz w:val="24"/>
                <w:szCs w:val="24"/>
              </w:rPr>
              <w:t>2</w:t>
            </w:r>
            <w:r w:rsidR="00220A98">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Car</w:t>
            </w:r>
            <w:r w:rsidRPr="00C25C98">
              <w:rPr>
                <w:rFonts w:asciiTheme="minorHAnsi" w:hAnsiTheme="minorHAnsi"/>
                <w:sz w:val="22"/>
                <w:szCs w:val="22"/>
              </w:rPr>
              <w:t>.</w:t>
            </w:r>
          </w:p>
        </w:tc>
        <w:tc>
          <w:tcPr>
            <w:tcW w:w="1350" w:type="dxa"/>
            <w:vAlign w:val="center"/>
          </w:tcPr>
          <w:p w:rsidR="00481431" w:rsidRPr="00481431" w:rsidRDefault="0024004A"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50</w:t>
            </w:r>
          </w:p>
        </w:tc>
        <w:tc>
          <w:tcPr>
            <w:tcW w:w="1548" w:type="dxa"/>
            <w:vAlign w:val="center"/>
          </w:tcPr>
          <w:p w:rsidR="00481431" w:rsidRPr="00481431" w:rsidRDefault="00DF0F39" w:rsidP="00E26B7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41024" behindDoc="0" locked="0" layoutInCell="1" allowOverlap="1" wp14:anchorId="7B8A3613" wp14:editId="00497709">
                      <wp:simplePos x="0" y="0"/>
                      <wp:positionH relativeFrom="column">
                        <wp:posOffset>325755</wp:posOffset>
                      </wp:positionH>
                      <wp:positionV relativeFrom="paragraph">
                        <wp:posOffset>-88900</wp:posOffset>
                      </wp:positionV>
                      <wp:extent cx="178435" cy="281305"/>
                      <wp:effectExtent l="0" t="0" r="0" b="444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5.65pt;margin-top:-7pt;width:14.05pt;height:22.1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eP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" fillcolor="#00b050" stroked="f"/>
                  </w:pict>
                </mc:Fallback>
              </mc:AlternateContent>
            </w:r>
            <w:r w:rsidR="00E26B73">
              <w:rPr>
                <w:rFonts w:asciiTheme="minorHAnsi" w:hAnsiTheme="minorHAnsi"/>
                <w:b/>
                <w:sz w:val="24"/>
                <w:szCs w:val="24"/>
              </w:rPr>
              <w:t>2</w:t>
            </w:r>
            <w:r w:rsidR="00AF02C6">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928" w:type="dxa"/>
        <w:tblLayout w:type="fixed"/>
        <w:tblLook w:val="04A0" w:firstRow="1" w:lastRow="0" w:firstColumn="1" w:lastColumn="0" w:noHBand="0" w:noVBand="1"/>
      </w:tblPr>
      <w:tblGrid>
        <w:gridCol w:w="1911"/>
        <w:gridCol w:w="1113"/>
        <w:gridCol w:w="656"/>
        <w:gridCol w:w="656"/>
        <w:gridCol w:w="656"/>
        <w:gridCol w:w="656"/>
        <w:gridCol w:w="656"/>
        <w:gridCol w:w="656"/>
        <w:gridCol w:w="656"/>
        <w:gridCol w:w="656"/>
        <w:gridCol w:w="656"/>
      </w:tblGrid>
      <w:tr w:rsidR="000C7541" w:rsidRPr="00546A3A" w:rsidTr="00D22EF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1" w:type="dxa"/>
            <w:noWrap/>
            <w:vAlign w:val="center"/>
            <w:hideMark/>
          </w:tcPr>
          <w:p w:rsidR="000C7541" w:rsidRPr="00F736A9" w:rsidRDefault="000C7541"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0C7541" w:rsidRPr="00546A3A" w:rsidRDefault="000C7541"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vAlign w:val="center"/>
          </w:tcPr>
          <w:p w:rsidR="000C7541" w:rsidRPr="004C6631"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656" w:type="dxa"/>
            <w:vAlign w:val="center"/>
          </w:tcPr>
          <w:p w:rsidR="000C7541" w:rsidRPr="0082033A"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033A">
              <w:rPr>
                <w:rFonts w:ascii="Arial" w:hAnsi="Arial" w:cs="Arial"/>
                <w:b w:val="0"/>
                <w:bCs w:val="0"/>
              </w:rPr>
              <w:t>Jan</w:t>
            </w:r>
          </w:p>
        </w:tc>
        <w:tc>
          <w:tcPr>
            <w:tcW w:w="656" w:type="dxa"/>
            <w:vAlign w:val="center"/>
          </w:tcPr>
          <w:p w:rsidR="000C7541" w:rsidRPr="00500677"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0677">
              <w:rPr>
                <w:rFonts w:ascii="Arial" w:hAnsi="Arial" w:cs="Arial"/>
                <w:b w:val="0"/>
              </w:rPr>
              <w:t>Apr</w:t>
            </w:r>
          </w:p>
        </w:tc>
        <w:tc>
          <w:tcPr>
            <w:tcW w:w="656" w:type="dxa"/>
            <w:vAlign w:val="center"/>
          </w:tcPr>
          <w:p w:rsidR="000C7541" w:rsidRPr="00692E24"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92E24">
              <w:rPr>
                <w:rFonts w:ascii="Arial" w:hAnsi="Arial" w:cs="Arial"/>
                <w:b w:val="0"/>
              </w:rPr>
              <w:t>Sept</w:t>
            </w:r>
          </w:p>
        </w:tc>
        <w:tc>
          <w:tcPr>
            <w:tcW w:w="656" w:type="dxa"/>
            <w:vAlign w:val="center"/>
          </w:tcPr>
          <w:p w:rsidR="000C7541" w:rsidRPr="00BE255B"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255B">
              <w:rPr>
                <w:rFonts w:ascii="Arial" w:hAnsi="Arial" w:cs="Arial"/>
                <w:b w:val="0"/>
              </w:rPr>
              <w:t>Dec</w:t>
            </w:r>
          </w:p>
        </w:tc>
        <w:tc>
          <w:tcPr>
            <w:tcW w:w="656" w:type="dxa"/>
            <w:vAlign w:val="center"/>
          </w:tcPr>
          <w:p w:rsidR="000C7541" w:rsidRPr="00D22EFC"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22EFC">
              <w:rPr>
                <w:rFonts w:ascii="Arial" w:hAnsi="Arial" w:cs="Arial"/>
                <w:b w:val="0"/>
              </w:rPr>
              <w:t>Feb</w:t>
            </w:r>
          </w:p>
        </w:tc>
        <w:tc>
          <w:tcPr>
            <w:tcW w:w="656" w:type="dxa"/>
            <w:vAlign w:val="center"/>
          </w:tcPr>
          <w:p w:rsidR="000C7541" w:rsidRPr="00D22EFC"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22EFC">
              <w:rPr>
                <w:rFonts w:ascii="Arial" w:hAnsi="Arial" w:cs="Arial"/>
                <w:b w:val="0"/>
              </w:rPr>
              <w:t>May</w:t>
            </w:r>
          </w:p>
        </w:tc>
        <w:tc>
          <w:tcPr>
            <w:tcW w:w="656" w:type="dxa"/>
            <w:vAlign w:val="center"/>
          </w:tcPr>
          <w:p w:rsidR="000C7541" w:rsidRPr="00D22EFC"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22EFC">
              <w:rPr>
                <w:rFonts w:ascii="Arial" w:hAnsi="Arial" w:cs="Arial"/>
                <w:b w:val="0"/>
              </w:rPr>
              <w:t>Sept</w:t>
            </w:r>
          </w:p>
        </w:tc>
        <w:tc>
          <w:tcPr>
            <w:tcW w:w="656" w:type="dxa"/>
            <w:vAlign w:val="center"/>
          </w:tcPr>
          <w:p w:rsidR="000C7541" w:rsidRPr="00D22EFC" w:rsidRDefault="000C7541" w:rsidP="00D22EF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22EFC">
              <w:rPr>
                <w:rFonts w:ascii="Arial" w:hAnsi="Arial" w:cs="Arial"/>
              </w:rPr>
              <w:t>Dec</w:t>
            </w:r>
          </w:p>
        </w:tc>
      </w:tr>
      <w:tr w:rsidR="000C7541" w:rsidRPr="00546A3A" w:rsidTr="00D22E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vAlign w:val="bottom"/>
            <w:hideMark/>
          </w:tcPr>
          <w:p w:rsidR="000C7541" w:rsidRPr="00F736A9" w:rsidRDefault="000C7541" w:rsidP="00BE255B">
            <w:pPr>
              <w:rPr>
                <w:rFonts w:ascii="Arial" w:hAnsi="Arial" w:cs="Arial"/>
                <w:sz w:val="18"/>
                <w:szCs w:val="18"/>
              </w:rPr>
            </w:pPr>
          </w:p>
        </w:tc>
        <w:tc>
          <w:tcPr>
            <w:tcW w:w="1113" w:type="dxa"/>
            <w:shd w:val="clear" w:color="auto" w:fill="EEECE1" w:themeFill="background2"/>
            <w:noWrap/>
            <w:vAlign w:val="center"/>
            <w:hideMark/>
          </w:tcPr>
          <w:p w:rsidR="000C7541" w:rsidRPr="00546A3A" w:rsidRDefault="000C7541"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bottom w:val="nil"/>
            </w:tcBorders>
            <w:shd w:val="clear" w:color="auto" w:fill="EEECE1" w:themeFill="background2"/>
            <w:vAlign w:val="center"/>
          </w:tcPr>
          <w:p w:rsidR="000C7541" w:rsidRPr="004C6631"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656" w:type="dxa"/>
            <w:tcBorders>
              <w:bottom w:val="nil"/>
            </w:tcBorders>
            <w:shd w:val="clear" w:color="auto" w:fill="EEECE1" w:themeFill="background2"/>
            <w:vAlign w:val="center"/>
          </w:tcPr>
          <w:p w:rsidR="000C7541" w:rsidRPr="0082033A"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tcBorders>
              <w:bottom w:val="nil"/>
            </w:tcBorders>
            <w:shd w:val="clear" w:color="auto" w:fill="EEECE1" w:themeFill="background2"/>
            <w:vAlign w:val="center"/>
          </w:tcPr>
          <w:p w:rsidR="000C7541" w:rsidRPr="00500677"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56" w:type="dxa"/>
            <w:tcBorders>
              <w:bottom w:val="nil"/>
            </w:tcBorders>
            <w:shd w:val="clear" w:color="auto" w:fill="EEECE1" w:themeFill="background2"/>
            <w:vAlign w:val="center"/>
          </w:tcPr>
          <w:p w:rsidR="000C7541" w:rsidRPr="00692E24"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‘13</w:t>
            </w:r>
          </w:p>
        </w:tc>
        <w:tc>
          <w:tcPr>
            <w:tcW w:w="656" w:type="dxa"/>
            <w:tcBorders>
              <w:bottom w:val="nil"/>
            </w:tcBorders>
            <w:shd w:val="clear" w:color="auto" w:fill="EEECE1" w:themeFill="background2"/>
            <w:vAlign w:val="center"/>
          </w:tcPr>
          <w:p w:rsidR="000C7541" w:rsidRPr="00BE255B"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tcBorders>
              <w:bottom w:val="nil"/>
            </w:tcBorders>
            <w:shd w:val="clear" w:color="auto" w:fill="EEECE1" w:themeFill="background2"/>
            <w:vAlign w:val="center"/>
          </w:tcPr>
          <w:p w:rsidR="000C7541" w:rsidRPr="008F171F"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‘14</w:t>
            </w:r>
          </w:p>
        </w:tc>
        <w:tc>
          <w:tcPr>
            <w:tcW w:w="656" w:type="dxa"/>
            <w:tcBorders>
              <w:bottom w:val="nil"/>
            </w:tcBorders>
            <w:shd w:val="clear" w:color="auto" w:fill="EEECE1" w:themeFill="background2"/>
          </w:tcPr>
          <w:p w:rsidR="000C7541" w:rsidRPr="00F863C8"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863C8">
              <w:rPr>
                <w:rFonts w:ascii="Arial" w:hAnsi="Arial" w:cs="Arial"/>
                <w:bCs/>
              </w:rPr>
              <w:t>‘14</w:t>
            </w:r>
          </w:p>
        </w:tc>
        <w:tc>
          <w:tcPr>
            <w:tcW w:w="656" w:type="dxa"/>
            <w:tcBorders>
              <w:bottom w:val="nil"/>
            </w:tcBorders>
            <w:shd w:val="clear" w:color="auto" w:fill="EEECE1" w:themeFill="background2"/>
            <w:vAlign w:val="center"/>
          </w:tcPr>
          <w:p w:rsidR="000C7541" w:rsidRPr="000C7541"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‘14</w:t>
            </w:r>
          </w:p>
        </w:tc>
        <w:tc>
          <w:tcPr>
            <w:tcW w:w="656" w:type="dxa"/>
            <w:tcBorders>
              <w:bottom w:val="nil"/>
            </w:tcBorders>
            <w:shd w:val="clear" w:color="auto" w:fill="EEECE1" w:themeFill="background2"/>
            <w:vAlign w:val="center"/>
          </w:tcPr>
          <w:p w:rsidR="000C7541" w:rsidRPr="000C7541" w:rsidRDefault="000C7541" w:rsidP="00D22EF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C7541">
              <w:rPr>
                <w:rFonts w:ascii="Arial" w:hAnsi="Arial" w:cs="Arial"/>
                <w:b/>
              </w:rPr>
              <w:t>‘14</w:t>
            </w:r>
          </w:p>
        </w:tc>
      </w:tr>
      <w:tr w:rsidR="000C7541" w:rsidRPr="00546A3A" w:rsidTr="00D22E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C7541" w:rsidRPr="00546A3A" w:rsidRDefault="000C7541"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0C7541" w:rsidRPr="00546A3A" w:rsidRDefault="000C7541"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top w:val="nil"/>
              <w:bottom w:val="single" w:sz="4" w:space="0" w:color="auto"/>
            </w:tcBorders>
            <w:shd w:val="clear" w:color="auto" w:fill="EEECE1" w:themeFill="background2"/>
            <w:vAlign w:val="center"/>
          </w:tcPr>
          <w:p w:rsidR="000C7541" w:rsidRPr="004C6631"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656" w:type="dxa"/>
            <w:tcBorders>
              <w:top w:val="nil"/>
              <w:bottom w:val="single" w:sz="4" w:space="0" w:color="auto"/>
            </w:tcBorders>
            <w:shd w:val="clear" w:color="auto" w:fill="EEECE1" w:themeFill="background2"/>
            <w:vAlign w:val="center"/>
          </w:tcPr>
          <w:p w:rsidR="000C7541" w:rsidRPr="0082033A"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w:t>
            </w:r>
          </w:p>
        </w:tc>
        <w:tc>
          <w:tcPr>
            <w:tcW w:w="656" w:type="dxa"/>
            <w:tcBorders>
              <w:top w:val="nil"/>
              <w:bottom w:val="single" w:sz="4" w:space="0" w:color="auto"/>
            </w:tcBorders>
            <w:shd w:val="clear" w:color="auto" w:fill="EEECE1" w:themeFill="background2"/>
            <w:vAlign w:val="center"/>
          </w:tcPr>
          <w:p w:rsidR="000C7541" w:rsidRPr="00500677"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w:t>
            </w:r>
          </w:p>
        </w:tc>
        <w:tc>
          <w:tcPr>
            <w:tcW w:w="656" w:type="dxa"/>
            <w:tcBorders>
              <w:top w:val="nil"/>
              <w:bottom w:val="single" w:sz="4" w:space="0" w:color="auto"/>
            </w:tcBorders>
            <w:shd w:val="clear" w:color="auto" w:fill="EEECE1" w:themeFill="background2"/>
            <w:vAlign w:val="center"/>
          </w:tcPr>
          <w:p w:rsidR="000C7541" w:rsidRPr="00692E24"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w:t>
            </w:r>
          </w:p>
        </w:tc>
        <w:tc>
          <w:tcPr>
            <w:tcW w:w="656" w:type="dxa"/>
            <w:tcBorders>
              <w:top w:val="nil"/>
              <w:bottom w:val="single" w:sz="4" w:space="0" w:color="auto"/>
            </w:tcBorders>
            <w:shd w:val="clear" w:color="auto" w:fill="EEECE1" w:themeFill="background2"/>
            <w:vAlign w:val="center"/>
          </w:tcPr>
          <w:p w:rsidR="000C7541" w:rsidRPr="00BE255B"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w:t>
            </w:r>
          </w:p>
        </w:tc>
        <w:tc>
          <w:tcPr>
            <w:tcW w:w="656" w:type="dxa"/>
            <w:tcBorders>
              <w:top w:val="nil"/>
              <w:bottom w:val="single" w:sz="4" w:space="0" w:color="auto"/>
            </w:tcBorders>
            <w:shd w:val="clear" w:color="auto" w:fill="EEECE1" w:themeFill="background2"/>
            <w:vAlign w:val="center"/>
          </w:tcPr>
          <w:p w:rsidR="000C7541" w:rsidRPr="008F171F"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w:t>
            </w:r>
          </w:p>
        </w:tc>
        <w:tc>
          <w:tcPr>
            <w:tcW w:w="656" w:type="dxa"/>
            <w:tcBorders>
              <w:top w:val="nil"/>
              <w:bottom w:val="single" w:sz="4" w:space="0" w:color="auto"/>
            </w:tcBorders>
            <w:shd w:val="clear" w:color="auto" w:fill="EEECE1" w:themeFill="background2"/>
          </w:tcPr>
          <w:p w:rsidR="000C7541" w:rsidRPr="00F863C8"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863C8">
              <w:rPr>
                <w:rFonts w:ascii="Arial" w:hAnsi="Arial" w:cs="Arial"/>
                <w:bCs/>
              </w:rPr>
              <w:t>(%)</w:t>
            </w:r>
          </w:p>
        </w:tc>
        <w:tc>
          <w:tcPr>
            <w:tcW w:w="656" w:type="dxa"/>
            <w:tcBorders>
              <w:top w:val="nil"/>
              <w:bottom w:val="single" w:sz="4" w:space="0" w:color="auto"/>
            </w:tcBorders>
            <w:shd w:val="clear" w:color="auto" w:fill="EEECE1" w:themeFill="background2"/>
            <w:vAlign w:val="center"/>
          </w:tcPr>
          <w:p w:rsidR="000C7541" w:rsidRPr="000C7541" w:rsidRDefault="000C7541"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w:t>
            </w:r>
          </w:p>
        </w:tc>
        <w:tc>
          <w:tcPr>
            <w:tcW w:w="656" w:type="dxa"/>
            <w:tcBorders>
              <w:top w:val="nil"/>
              <w:bottom w:val="single" w:sz="4" w:space="0" w:color="auto"/>
            </w:tcBorders>
            <w:shd w:val="clear" w:color="auto" w:fill="EEECE1" w:themeFill="background2"/>
            <w:vAlign w:val="center"/>
          </w:tcPr>
          <w:p w:rsidR="000C7541" w:rsidRPr="000C7541" w:rsidRDefault="000C7541" w:rsidP="00D22EF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C7541">
              <w:rPr>
                <w:rFonts w:ascii="Arial" w:hAnsi="Arial" w:cs="Arial"/>
                <w:b/>
              </w:rPr>
              <w:t>(%)</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tcBorders>
              <w:top w:val="single" w:sz="4" w:space="0" w:color="auto"/>
            </w:tcBorders>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656" w:type="dxa"/>
            <w:tcBorders>
              <w:top w:val="single" w:sz="4" w:space="0" w:color="auto"/>
            </w:tcBorders>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56" w:type="dxa"/>
            <w:tcBorders>
              <w:top w:val="single" w:sz="4" w:space="0" w:color="auto"/>
            </w:tcBorders>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56" w:type="dxa"/>
            <w:tcBorders>
              <w:top w:val="single" w:sz="4" w:space="0" w:color="auto"/>
            </w:tcBorders>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tcBorders>
              <w:top w:val="single" w:sz="4" w:space="0" w:color="auto"/>
            </w:tcBorders>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56" w:type="dxa"/>
            <w:tcBorders>
              <w:top w:val="single" w:sz="4" w:space="0" w:color="auto"/>
            </w:tcBorders>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15</w:t>
            </w:r>
          </w:p>
        </w:tc>
        <w:tc>
          <w:tcPr>
            <w:tcW w:w="656" w:type="dxa"/>
            <w:tcBorders>
              <w:top w:val="single" w:sz="4" w:space="0" w:color="auto"/>
            </w:tcBorders>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17</w:t>
            </w:r>
          </w:p>
        </w:tc>
        <w:tc>
          <w:tcPr>
            <w:tcW w:w="656" w:type="dxa"/>
            <w:tcBorders>
              <w:top w:val="single" w:sz="4" w:space="0" w:color="auto"/>
            </w:tcBorders>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21</w:t>
            </w:r>
          </w:p>
        </w:tc>
        <w:tc>
          <w:tcPr>
            <w:tcW w:w="656" w:type="dxa"/>
            <w:tcBorders>
              <w:top w:val="single" w:sz="4" w:space="0" w:color="auto"/>
            </w:tcBorders>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27</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62</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62</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66</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61</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62</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66</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62</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58</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23</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22</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17</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15</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14</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33</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30</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29</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31</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22</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33</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41</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46</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48</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47</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49</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57</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53</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22</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19</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22</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18</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17</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11</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42</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44</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49</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42</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50</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48</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51</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60</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48</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45</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46</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38</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43</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40</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35</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8</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9</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11</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7</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6</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5</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36</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37</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35</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33</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33</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45</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52</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49</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59</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55</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57</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53</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49</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10</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10</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10</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11</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7</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8</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10</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6</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8</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8</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13</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16</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14</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16</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Default="0024004A"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Found</w:t>
            </w:r>
          </w:p>
          <w:p w:rsidR="0024004A" w:rsidRPr="000A4BFC" w:rsidRDefault="0024004A"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w/effort</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54</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57</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57</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57</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53</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60</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31</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28</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24</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25</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18</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40</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28</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35</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33</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38</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43</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49</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47</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50</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47</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54</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48</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45</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16</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15</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10</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9</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9</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24</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27</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29</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25</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30</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57</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53</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48</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47</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58</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51</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26</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23</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21</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24</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17</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19</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33</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35</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39</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33</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32</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41</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53</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52</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59</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59</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52</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9</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8</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9</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6</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28</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30</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35</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33</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32</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32</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49</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47</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48</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47</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42</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44</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49</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37</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the home?</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20</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18</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18</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22</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20</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17</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13</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9</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67</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65</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65</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52</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56</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55</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57</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buy a house?</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15</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22</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19</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29</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24</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28</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26</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23</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18</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11</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12</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14</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42</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41</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37</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48</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50</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r w:rsidRPr="00546A3A">
              <w:rPr>
                <w:rFonts w:ascii="Arial" w:hAnsi="Arial" w:cs="Arial"/>
                <w:sz w:val="16"/>
                <w:szCs w:val="16"/>
              </w:rPr>
              <w:t>buy a car?</w:t>
            </w: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40</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38</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36</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42</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35</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34</w:t>
            </w:r>
          </w:p>
        </w:tc>
      </w:tr>
      <w:tr w:rsidR="0024004A" w:rsidRPr="00546A3A" w:rsidTr="0024004A">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4004A" w:rsidRPr="00546A3A" w:rsidRDefault="0024004A" w:rsidP="007C47FE">
            <w:pPr>
              <w:rPr>
                <w:rFonts w:ascii="Arial" w:hAnsi="Arial" w:cs="Arial"/>
                <w:sz w:val="16"/>
                <w:szCs w:val="16"/>
              </w:rPr>
            </w:pPr>
          </w:p>
        </w:tc>
        <w:tc>
          <w:tcPr>
            <w:tcW w:w="1113" w:type="dxa"/>
            <w:shd w:val="clear" w:color="auto" w:fill="EEECE1" w:themeFill="background2"/>
            <w:noWrap/>
            <w:vAlign w:val="center"/>
            <w:hideMark/>
          </w:tcPr>
          <w:p w:rsidR="0024004A" w:rsidRPr="00546A3A" w:rsidRDefault="0024004A"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24004A" w:rsidRPr="004C663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vAlign w:val="center"/>
          </w:tcPr>
          <w:p w:rsidR="0024004A" w:rsidRPr="0082033A"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56" w:type="dxa"/>
            <w:shd w:val="clear" w:color="auto" w:fill="EEECE1" w:themeFill="background2"/>
            <w:vAlign w:val="center"/>
          </w:tcPr>
          <w:p w:rsidR="0024004A" w:rsidRPr="00500677"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15</w:t>
            </w:r>
          </w:p>
        </w:tc>
        <w:tc>
          <w:tcPr>
            <w:tcW w:w="656" w:type="dxa"/>
            <w:shd w:val="clear" w:color="auto" w:fill="EEECE1" w:themeFill="background2"/>
            <w:vAlign w:val="center"/>
          </w:tcPr>
          <w:p w:rsidR="0024004A" w:rsidRPr="00692E24"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shd w:val="clear" w:color="auto" w:fill="EEECE1" w:themeFill="background2"/>
            <w:vAlign w:val="center"/>
          </w:tcPr>
          <w:p w:rsidR="0024004A" w:rsidRPr="00BE255B"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20</w:t>
            </w:r>
          </w:p>
        </w:tc>
        <w:tc>
          <w:tcPr>
            <w:tcW w:w="656" w:type="dxa"/>
            <w:shd w:val="clear" w:color="auto" w:fill="EEECE1" w:themeFill="background2"/>
            <w:vAlign w:val="center"/>
          </w:tcPr>
          <w:p w:rsidR="0024004A" w:rsidRPr="008F171F"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18</w:t>
            </w:r>
          </w:p>
        </w:tc>
        <w:tc>
          <w:tcPr>
            <w:tcW w:w="656" w:type="dxa"/>
            <w:shd w:val="clear" w:color="auto" w:fill="EEECE1" w:themeFill="background2"/>
            <w:vAlign w:val="center"/>
          </w:tcPr>
          <w:p w:rsidR="0024004A" w:rsidRPr="00F863C8"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863C8">
              <w:rPr>
                <w:rFonts w:ascii="Arial" w:hAnsi="Arial" w:cs="Arial"/>
              </w:rPr>
              <w:t>18</w:t>
            </w:r>
          </w:p>
        </w:tc>
        <w:tc>
          <w:tcPr>
            <w:tcW w:w="656" w:type="dxa"/>
            <w:shd w:val="clear" w:color="auto" w:fill="EEECE1" w:themeFill="background2"/>
            <w:vAlign w:val="center"/>
          </w:tcPr>
          <w:p w:rsidR="0024004A" w:rsidRPr="000C7541" w:rsidRDefault="0024004A" w:rsidP="0089602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12</w:t>
            </w:r>
          </w:p>
        </w:tc>
        <w:tc>
          <w:tcPr>
            <w:tcW w:w="656" w:type="dxa"/>
            <w:shd w:val="clear" w:color="auto" w:fill="EEECE1" w:themeFill="background2"/>
            <w:vAlign w:val="center"/>
          </w:tcPr>
          <w:p w:rsidR="0024004A" w:rsidRPr="0024004A" w:rsidRDefault="0024004A" w:rsidP="0024004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4004A">
              <w:rPr>
                <w:rFonts w:ascii="Arial" w:hAnsi="Arial" w:cs="Arial"/>
                <w:b/>
              </w:rPr>
              <w:t>11</w:t>
            </w:r>
          </w:p>
        </w:tc>
      </w:tr>
    </w:tbl>
    <w:p w:rsidR="00E10F3A" w:rsidRDefault="00546A3A" w:rsidP="00D51D6B">
      <w:pPr>
        <w:pStyle w:val="BodyText"/>
        <w:jc w:val="both"/>
        <w:rPr>
          <w:rFonts w:asciiTheme="minorHAnsi" w:hAnsiTheme="minorHAnsi"/>
          <w:b/>
          <w:bCs/>
          <w:u w:val="single"/>
        </w:rPr>
      </w:pPr>
      <w:r>
        <w:rPr>
          <w:rFonts w:asciiTheme="minorHAnsi" w:hAnsiTheme="minorHAnsi"/>
          <w:b/>
          <w:bCs/>
          <w:u w:val="single"/>
        </w:rPr>
        <w:br w:type="column"/>
      </w: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t>
      </w:r>
      <w:r w:rsidR="000C7541">
        <w:rPr>
          <w:rFonts w:asciiTheme="minorHAnsi" w:hAnsiTheme="minorHAnsi"/>
          <w:sz w:val="24"/>
        </w:rPr>
        <w:t>(</w:t>
      </w:r>
      <w:r w:rsidR="00D22EFC">
        <w:rPr>
          <w:rFonts w:asciiTheme="minorHAnsi" w:hAnsiTheme="minorHAnsi"/>
          <w:sz w:val="24"/>
        </w:rPr>
        <w:t xml:space="preserve">including </w:t>
      </w:r>
      <w:r w:rsidR="000C7541">
        <w:rPr>
          <w:rFonts w:asciiTheme="minorHAnsi" w:hAnsiTheme="minorHAnsi"/>
          <w:sz w:val="24"/>
        </w:rPr>
        <w:t xml:space="preserve">landline and cell phones) </w:t>
      </w:r>
      <w:r w:rsidRPr="00A16353">
        <w:rPr>
          <w:rFonts w:asciiTheme="minorHAnsi" w:hAnsiTheme="minorHAnsi"/>
          <w:sz w:val="24"/>
        </w:rPr>
        <w:t>with</w:t>
      </w:r>
      <w:r w:rsidR="00EE00BA">
        <w:rPr>
          <w:rFonts w:asciiTheme="minorHAnsi" w:hAnsiTheme="minorHAnsi"/>
          <w:sz w:val="24"/>
        </w:rPr>
        <w:t xml:space="preserve"> </w:t>
      </w:r>
      <w:r w:rsidR="00D22EFC">
        <w:rPr>
          <w:rFonts w:asciiTheme="minorHAnsi" w:hAnsiTheme="minorHAnsi"/>
          <w:sz w:val="24"/>
        </w:rPr>
        <w:t>235</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w:t>
      </w:r>
      <w:r w:rsidRPr="007A6F4D">
        <w:rPr>
          <w:rFonts w:asciiTheme="minorHAnsi" w:hAnsiTheme="minorHAnsi"/>
          <w:sz w:val="24"/>
          <w:szCs w:val="24"/>
        </w:rPr>
        <w:t xml:space="preserve">conducted </w:t>
      </w:r>
      <w:r w:rsidR="007A6F4D" w:rsidRPr="007A6F4D">
        <w:rPr>
          <w:rFonts w:asciiTheme="minorHAnsi" w:hAnsiTheme="minorHAnsi"/>
          <w:sz w:val="24"/>
          <w:szCs w:val="24"/>
        </w:rPr>
        <w:t xml:space="preserve">between the evenings of </w:t>
      </w:r>
      <w:r w:rsidR="00F863C8">
        <w:rPr>
          <w:rFonts w:asciiTheme="minorHAnsi" w:hAnsiTheme="minorHAnsi"/>
          <w:sz w:val="24"/>
          <w:szCs w:val="24"/>
        </w:rPr>
        <w:t xml:space="preserve">Monday, </w:t>
      </w:r>
      <w:r w:rsidR="000C7541">
        <w:rPr>
          <w:rFonts w:asciiTheme="minorHAnsi" w:hAnsiTheme="minorHAnsi"/>
          <w:sz w:val="24"/>
          <w:szCs w:val="24"/>
        </w:rPr>
        <w:t>December</w:t>
      </w:r>
      <w:r w:rsidR="00F863C8">
        <w:rPr>
          <w:rFonts w:asciiTheme="minorHAnsi" w:hAnsiTheme="minorHAnsi"/>
          <w:sz w:val="24"/>
          <w:szCs w:val="24"/>
        </w:rPr>
        <w:t xml:space="preserve"> </w:t>
      </w:r>
      <w:r w:rsidR="000C7541">
        <w:rPr>
          <w:rFonts w:asciiTheme="minorHAnsi" w:hAnsiTheme="minorHAnsi"/>
          <w:sz w:val="24"/>
          <w:szCs w:val="24"/>
        </w:rPr>
        <w:t>1</w:t>
      </w:r>
      <w:r w:rsidR="00F863C8">
        <w:rPr>
          <w:rFonts w:asciiTheme="minorHAnsi" w:hAnsiTheme="minorHAnsi"/>
          <w:sz w:val="24"/>
          <w:szCs w:val="24"/>
        </w:rPr>
        <w:t xml:space="preserve"> and We</w:t>
      </w:r>
      <w:r w:rsidR="007A6F4D" w:rsidRPr="007A6F4D">
        <w:rPr>
          <w:rFonts w:asciiTheme="minorHAnsi" w:hAnsiTheme="minorHAnsi"/>
          <w:sz w:val="24"/>
          <w:szCs w:val="24"/>
        </w:rPr>
        <w:t xml:space="preserve">dnesday, </w:t>
      </w:r>
      <w:r w:rsidR="000C7541">
        <w:rPr>
          <w:rFonts w:asciiTheme="minorHAnsi" w:hAnsiTheme="minorHAnsi"/>
          <w:sz w:val="24"/>
          <w:szCs w:val="24"/>
        </w:rPr>
        <w:t>December</w:t>
      </w:r>
      <w:r w:rsidR="00F863C8">
        <w:rPr>
          <w:rFonts w:asciiTheme="minorHAnsi" w:hAnsiTheme="minorHAnsi"/>
          <w:sz w:val="24"/>
          <w:szCs w:val="24"/>
        </w:rPr>
        <w:t xml:space="preserve"> </w:t>
      </w:r>
      <w:r w:rsidR="000C7541">
        <w:rPr>
          <w:rFonts w:asciiTheme="minorHAnsi" w:hAnsiTheme="minorHAnsi"/>
          <w:sz w:val="24"/>
          <w:szCs w:val="24"/>
        </w:rPr>
        <w:t>3</w:t>
      </w:r>
      <w:r w:rsidR="007A6F4D" w:rsidRPr="007A6F4D">
        <w:rPr>
          <w:rFonts w:asciiTheme="minorHAnsi" w:hAnsiTheme="minorHAnsi"/>
          <w:sz w:val="24"/>
          <w:szCs w:val="24"/>
        </w:rPr>
        <w:t xml:space="preserve">.  </w:t>
      </w:r>
      <w:r w:rsidRPr="007A6F4D">
        <w:rPr>
          <w:rFonts w:asciiTheme="minorHAnsi" w:hAnsiTheme="minorHAnsi"/>
          <w:sz w:val="24"/>
          <w:szCs w:val="24"/>
        </w:rPr>
        <w:t>With a sample of</w:t>
      </w:r>
      <w:r w:rsidR="00453C72">
        <w:rPr>
          <w:rFonts w:asciiTheme="minorHAnsi" w:hAnsiTheme="minorHAnsi"/>
          <w:sz w:val="24"/>
          <w:szCs w:val="24"/>
        </w:rPr>
        <w:t xml:space="preserve"> </w:t>
      </w:r>
      <w:r w:rsidR="00D22EFC">
        <w:rPr>
          <w:rFonts w:asciiTheme="minorHAnsi" w:hAnsiTheme="minorHAnsi"/>
          <w:sz w:val="24"/>
          <w:szCs w:val="24"/>
        </w:rPr>
        <w:t>235</w:t>
      </w:r>
      <w:r w:rsidR="001E2C62" w:rsidRPr="007A6F4D">
        <w:rPr>
          <w:rFonts w:asciiTheme="minorHAnsi" w:hAnsiTheme="minorHAnsi"/>
          <w:sz w:val="24"/>
          <w:szCs w:val="24"/>
        </w:rPr>
        <w:t xml:space="preserve"> </w:t>
      </w:r>
      <w:r w:rsidRPr="007A6F4D">
        <w:rPr>
          <w:rFonts w:asciiTheme="minorHAnsi" w:hAnsiTheme="minorHAnsi"/>
          <w:sz w:val="24"/>
          <w:szCs w:val="24"/>
        </w:rPr>
        <w:t>people, we can say with 95% confidence that the amount of survey error</w:t>
      </w:r>
      <w:r w:rsidRPr="00A16353">
        <w:rPr>
          <w:rFonts w:asciiTheme="minorHAnsi" w:hAnsiTheme="minorHAnsi"/>
          <w:sz w:val="24"/>
        </w:rPr>
        <w:t xml:space="preserve"> due to taking a random sample instead of surveying all members of the population is ±</w:t>
      </w:r>
      <w:r w:rsidR="000D12D0">
        <w:rPr>
          <w:rFonts w:asciiTheme="minorHAnsi" w:hAnsiTheme="minorHAnsi"/>
          <w:sz w:val="24"/>
        </w:rPr>
        <w:t xml:space="preserve"> </w:t>
      </w:r>
      <w:r w:rsidR="00D22EFC">
        <w:rPr>
          <w:rFonts w:asciiTheme="minorHAnsi" w:hAnsiTheme="minorHAnsi"/>
          <w:sz w:val="24"/>
        </w:rPr>
        <w:t>6.3</w:t>
      </w:r>
      <w:r w:rsidR="00F863C8">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5"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6"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0955D5" w:rsidRDefault="00993846" w:rsidP="009E29D4">
      <w:pPr>
        <w:jc w:val="both"/>
        <w:rPr>
          <w:rFonts w:asciiTheme="minorHAnsi" w:hAnsiTheme="minorHAnsi"/>
          <w:sz w:val="24"/>
        </w:rPr>
      </w:pPr>
    </w:p>
    <w:p w:rsidR="00105183" w:rsidRPr="000955D5" w:rsidRDefault="00105183" w:rsidP="009E29D4">
      <w:pPr>
        <w:jc w:val="both"/>
        <w:rPr>
          <w:rFonts w:asciiTheme="minorHAnsi" w:hAnsiTheme="minorHAnsi"/>
          <w:sz w:val="24"/>
        </w:rPr>
      </w:pPr>
      <w:r w:rsidRPr="000955D5">
        <w:rPr>
          <w:rFonts w:asciiTheme="minorHAnsi" w:hAnsiTheme="minorHAnsi"/>
          <w:sz w:val="24"/>
        </w:rPr>
        <w:t xml:space="preserve">     The </w:t>
      </w:r>
      <w:r w:rsidR="00A07B8D" w:rsidRPr="000955D5">
        <w:rPr>
          <w:rFonts w:asciiTheme="minorHAnsi" w:hAnsiTheme="minorHAnsi"/>
          <w:sz w:val="24"/>
        </w:rPr>
        <w:t xml:space="preserve">Consumer </w:t>
      </w:r>
      <w:r w:rsidR="006C267E" w:rsidRPr="000955D5">
        <w:rPr>
          <w:rFonts w:asciiTheme="minorHAnsi" w:hAnsiTheme="minorHAnsi"/>
          <w:sz w:val="24"/>
        </w:rPr>
        <w:t>O</w:t>
      </w:r>
      <w:r w:rsidR="00A07B8D" w:rsidRPr="000955D5">
        <w:rPr>
          <w:rFonts w:asciiTheme="minorHAnsi" w:hAnsiTheme="minorHAnsi"/>
          <w:sz w:val="24"/>
        </w:rPr>
        <w:t xml:space="preserve">utlook </w:t>
      </w:r>
      <w:r w:rsidR="006C267E" w:rsidRPr="000955D5">
        <w:rPr>
          <w:rFonts w:asciiTheme="minorHAnsi" w:hAnsiTheme="minorHAnsi"/>
          <w:sz w:val="24"/>
        </w:rPr>
        <w:t>I</w:t>
      </w:r>
      <w:r w:rsidR="00A07B8D" w:rsidRPr="000955D5">
        <w:rPr>
          <w:rFonts w:asciiTheme="minorHAnsi" w:hAnsiTheme="minorHAnsi"/>
          <w:sz w:val="24"/>
        </w:rPr>
        <w:t>ndex</w:t>
      </w:r>
      <w:r w:rsidRPr="000955D5">
        <w:rPr>
          <w:rFonts w:asciiTheme="minorHAnsi" w:hAnsiTheme="minorHAnsi"/>
          <w:sz w:val="24"/>
        </w:rPr>
        <w:t xml:space="preserve"> is based on all 11</w:t>
      </w:r>
      <w:r w:rsidR="00EA6EAC" w:rsidRPr="000955D5">
        <w:rPr>
          <w:rFonts w:asciiTheme="minorHAnsi" w:hAnsiTheme="minorHAnsi"/>
          <w:sz w:val="24"/>
        </w:rPr>
        <w:t xml:space="preserve"> </w:t>
      </w:r>
      <w:r w:rsidRPr="000955D5">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0955D5">
        <w:rPr>
          <w:rFonts w:asciiTheme="minorHAnsi" w:hAnsiTheme="minorHAnsi"/>
          <w:sz w:val="24"/>
        </w:rPr>
        <w:t xml:space="preserve">Current </w:t>
      </w:r>
      <w:r w:rsidRPr="000955D5">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0955D5"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Graeff’s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7"/>
          <w:footerReference w:type="even" r:id="rId18"/>
          <w:footerReference w:type="default" r:id="rId19"/>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CA" w:rsidRDefault="00F35FCA">
      <w:r>
        <w:separator/>
      </w:r>
    </w:p>
  </w:endnote>
  <w:endnote w:type="continuationSeparator" w:id="0">
    <w:p w:rsidR="00F35FCA" w:rsidRDefault="00F3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8B" w:rsidRDefault="00D97B8B"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B8B" w:rsidRDefault="00D97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D97B8B">
      <w:tc>
        <w:tcPr>
          <w:tcW w:w="918" w:type="dxa"/>
        </w:tcPr>
        <w:p w:rsidR="00D97B8B" w:rsidRDefault="00D97B8B">
          <w:pPr>
            <w:pStyle w:val="Footer"/>
            <w:jc w:val="right"/>
            <w:rPr>
              <w:b/>
              <w:color w:val="4F81BD" w:themeColor="accent1"/>
              <w:sz w:val="32"/>
              <w:szCs w:val="32"/>
            </w:rPr>
          </w:pPr>
          <w:r>
            <w:fldChar w:fldCharType="begin"/>
          </w:r>
          <w:r>
            <w:instrText xml:space="preserve"> PAGE   \* MERGEFORMAT </w:instrText>
          </w:r>
          <w:r>
            <w:fldChar w:fldCharType="separate"/>
          </w:r>
          <w:r w:rsidR="00AD749D" w:rsidRPr="00AD749D">
            <w:rPr>
              <w:b/>
              <w:noProof/>
              <w:color w:val="4F81BD" w:themeColor="accent1"/>
              <w:sz w:val="32"/>
              <w:szCs w:val="32"/>
            </w:rPr>
            <w:t>1</w:t>
          </w:r>
          <w:r>
            <w:rPr>
              <w:b/>
              <w:noProof/>
              <w:color w:val="4F81BD" w:themeColor="accent1"/>
              <w:sz w:val="32"/>
              <w:szCs w:val="32"/>
            </w:rPr>
            <w:fldChar w:fldCharType="end"/>
          </w:r>
        </w:p>
      </w:tc>
      <w:tc>
        <w:tcPr>
          <w:tcW w:w="7938" w:type="dxa"/>
        </w:tcPr>
        <w:p w:rsidR="00D97B8B" w:rsidRPr="00EB2F31" w:rsidRDefault="00D97B8B"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D97B8B" w:rsidRDefault="00D97B8B"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CA" w:rsidRDefault="00F35FCA">
      <w:r>
        <w:separator/>
      </w:r>
    </w:p>
  </w:footnote>
  <w:footnote w:type="continuationSeparator" w:id="0">
    <w:p w:rsidR="00F35FCA" w:rsidRDefault="00F35FCA">
      <w:r>
        <w:continuationSeparator/>
      </w:r>
    </w:p>
  </w:footnote>
  <w:footnote w:id="1">
    <w:p w:rsidR="00D97B8B" w:rsidRDefault="00D97B8B" w:rsidP="009455D8">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D97B8B" w:rsidRPr="00A16353" w:rsidRDefault="00D97B8B" w:rsidP="009455D8">
      <w:pPr>
        <w:pStyle w:val="FootnoteText"/>
        <w:rPr>
          <w:rFonts w:asciiTheme="minorHAnsi" w:hAnsiTheme="minorHAnsi"/>
        </w:rPr>
      </w:pPr>
    </w:p>
  </w:footnote>
  <w:footnote w:id="2">
    <w:p w:rsidR="00D97B8B" w:rsidRPr="006558E4" w:rsidRDefault="00D97B8B" w:rsidP="00D75CD8">
      <w:pPr>
        <w:pStyle w:val="BodyText"/>
        <w:jc w:val="both"/>
        <w:rPr>
          <w:rFonts w:asciiTheme="minorHAnsi" w:hAnsiTheme="minorHAnsi"/>
          <w:bCs/>
          <w:sz w:val="18"/>
          <w:szCs w:val="18"/>
        </w:rPr>
      </w:pPr>
      <w:r w:rsidRPr="006558E4">
        <w:rPr>
          <w:rStyle w:val="FootnoteReference"/>
          <w:sz w:val="18"/>
          <w:szCs w:val="18"/>
        </w:rPr>
        <w:footnoteRef/>
      </w:r>
      <w:r w:rsidRPr="006558E4">
        <w:rPr>
          <w:sz w:val="18"/>
          <w:szCs w:val="18"/>
        </w:rPr>
        <w:t xml:space="preserve"> </w:t>
      </w:r>
      <w:r w:rsidRPr="006558E4">
        <w:rPr>
          <w:rFonts w:asciiTheme="minorHAnsi" w:hAnsiTheme="minorHAnsi"/>
          <w:bCs/>
          <w:sz w:val="18"/>
          <w:szCs w:val="18"/>
        </w:rPr>
        <w:t xml:space="preserve">The consumer outlook index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outlook index is based on all eleven questions combined (the complete questions are shown at the end of this report).  </w:t>
      </w:r>
    </w:p>
    <w:p w:rsidR="00D97B8B" w:rsidRPr="006558E4" w:rsidRDefault="00D97B8B" w:rsidP="00D75CD8">
      <w:pPr>
        <w:pStyle w:val="BodyText"/>
        <w:jc w:val="both"/>
        <w:rPr>
          <w:rFonts w:asciiTheme="minorHAnsi" w:hAnsiTheme="minorHAnsi"/>
          <w:bCs/>
          <w:sz w:val="18"/>
          <w:szCs w:val="18"/>
        </w:rPr>
      </w:pPr>
      <w:r w:rsidRPr="006558E4">
        <w:rPr>
          <w:rFonts w:asciiTheme="minorHAnsi" w:hAnsiTheme="minorHAnsi"/>
          <w:bCs/>
          <w:sz w:val="18"/>
          <w:szCs w:val="18"/>
        </w:rPr>
        <w:t xml:space="preserve">     The scores for each index are computed by </w:t>
      </w:r>
      <w:r w:rsidRPr="006558E4">
        <w:rPr>
          <w:rFonts w:asciiTheme="minorHAnsi" w:hAnsiTheme="minorHAnsi"/>
          <w:sz w:val="18"/>
          <w:szCs w:val="18"/>
        </w:rPr>
        <w:t xml:space="preserve">adding the percentage of favorable responses to each question and subtracting the percentage of negative responses to each question.  </w:t>
      </w:r>
      <w:r w:rsidRPr="006558E4">
        <w:rPr>
          <w:rFonts w:asciiTheme="minorHAnsi" w:hAnsiTheme="minorHAnsi"/>
          <w:bCs/>
          <w:sz w:val="18"/>
          <w:szCs w:val="18"/>
        </w:rPr>
        <w:t xml:space="preserve">A net score of zero would indicate that the percentage of consumers who hold negative views of the economy is equal to the percentage of consumers who hold positive views of the economy.  A net positive score would indicate that consumers who hold positive views of the economy outnumber those who hold negative views of the economy. </w:t>
      </w:r>
    </w:p>
    <w:p w:rsidR="00D97B8B" w:rsidRDefault="00D97B8B">
      <w:pPr>
        <w:pStyle w:val="FootnoteText"/>
      </w:pPr>
    </w:p>
  </w:footnote>
  <w:footnote w:id="3">
    <w:p w:rsidR="00D97B8B" w:rsidRPr="00E63A1F" w:rsidRDefault="00D97B8B" w:rsidP="00344F23">
      <w:pPr>
        <w:pStyle w:val="FootnoteText"/>
        <w:rPr>
          <w:rFonts w:asciiTheme="minorHAnsi" w:hAnsiTheme="minorHAnsi"/>
          <w:color w:val="0070C0"/>
        </w:rPr>
      </w:pPr>
      <w:r w:rsidRPr="00DC746A">
        <w:rPr>
          <w:rStyle w:val="FootnoteReference"/>
        </w:rPr>
        <w:footnoteRef/>
      </w:r>
      <w:r w:rsidRPr="00DC746A">
        <w:t xml:space="preserve"> Despite Signs </w:t>
      </w:r>
      <w:r>
        <w:t>o</w:t>
      </w:r>
      <w:r w:rsidRPr="00DC746A">
        <w:t>f Economic Improvement, Consumer</w:t>
      </w:r>
      <w:r w:rsidR="00EE00BA">
        <w:t>s</w:t>
      </w:r>
      <w:r w:rsidRPr="00DC746A">
        <w:t xml:space="preserve"> Unlikely </w:t>
      </w:r>
      <w:r>
        <w:t>t</w:t>
      </w:r>
      <w:r w:rsidRPr="00DC746A">
        <w:t>o Increase Holiday Spending, According To 15</w:t>
      </w:r>
      <w:r w:rsidRPr="00DC746A">
        <w:rPr>
          <w:vertAlign w:val="superscript"/>
        </w:rPr>
        <w:t>th</w:t>
      </w:r>
      <w:r w:rsidRPr="00DC746A">
        <w:t xml:space="preserve"> Annual CF</w:t>
      </w:r>
      <w:r w:rsidR="00EE00BA">
        <w:t>A</w:t>
      </w:r>
      <w:r w:rsidRPr="00DC746A">
        <w:t>-CUNA Holiday Spending Survey</w:t>
      </w:r>
      <w:r>
        <w:t xml:space="preserve">, </w:t>
      </w:r>
      <w:r>
        <w:rPr>
          <w:rFonts w:asciiTheme="minorHAnsi" w:hAnsiTheme="minorHAnsi" w:cs="Helvetica"/>
          <w:lang w:val="en-GB"/>
        </w:rPr>
        <w:t>November 24, 201</w:t>
      </w:r>
      <w:r w:rsidR="00EE00BA">
        <w:rPr>
          <w:rFonts w:asciiTheme="minorHAnsi" w:hAnsiTheme="minorHAnsi" w:cs="Helvetica"/>
          <w:lang w:val="en-GB"/>
        </w:rPr>
        <w:t>4</w:t>
      </w:r>
      <w:r>
        <w:rPr>
          <w:rFonts w:asciiTheme="minorHAnsi" w:hAnsiTheme="minorHAnsi" w:cs="Helvetica"/>
          <w:lang w:val="en-GB"/>
        </w:rPr>
        <w:t>,</w:t>
      </w:r>
      <w:r w:rsidRPr="00C770E3">
        <w:rPr>
          <w:rFonts w:asciiTheme="minorHAnsi" w:hAnsiTheme="minorHAnsi" w:cs="Helvetica"/>
          <w:lang w:val="en-GB"/>
        </w:rPr>
        <w:t xml:space="preserve"> </w:t>
      </w:r>
      <w:r>
        <w:rPr>
          <w:rFonts w:asciiTheme="minorHAnsi" w:hAnsiTheme="minorHAnsi" w:cs="Helvetica"/>
          <w:lang w:val="en-GB"/>
        </w:rPr>
        <w:t xml:space="preserve">Consumer Federation of America, </w:t>
      </w:r>
      <w:hyperlink r:id="rId1" w:history="1">
        <w:r w:rsidRPr="00706DD3">
          <w:rPr>
            <w:rStyle w:val="Hyperlink"/>
            <w:rFonts w:asciiTheme="minorHAnsi" w:hAnsiTheme="minorHAnsi" w:cs="Helvetica"/>
            <w:lang w:val="en-GB"/>
          </w:rPr>
          <w:t>http://www.consumerfed.org</w:t>
        </w:r>
      </w:hyperlink>
      <w:r w:rsidRPr="00E63A1F">
        <w:rPr>
          <w:rFonts w:asciiTheme="minorHAnsi" w:hAnsiTheme="minorHAnsi" w:cs="Helvetica"/>
          <w:color w:val="0070C0"/>
          <w:lang w:val="en-GB"/>
        </w:rPr>
        <w:t xml:space="preserve">. </w:t>
      </w:r>
    </w:p>
  </w:footnote>
  <w:footnote w:id="4">
    <w:p w:rsidR="00D97B8B" w:rsidRPr="00B75460" w:rsidRDefault="00D97B8B" w:rsidP="00344F23">
      <w:pPr>
        <w:pStyle w:val="FootnoteText"/>
        <w:rPr>
          <w:rFonts w:asciiTheme="minorHAnsi" w:hAnsiTheme="minorHAnsi"/>
          <w:color w:val="0070C0"/>
        </w:rPr>
      </w:pPr>
      <w:r w:rsidRPr="00B75460">
        <w:rPr>
          <w:rStyle w:val="FootnoteReference"/>
          <w:rFonts w:asciiTheme="minorHAnsi" w:hAnsiTheme="minorHAnsi"/>
        </w:rPr>
        <w:footnoteRef/>
      </w:r>
      <w:r w:rsidRPr="00B75460">
        <w:rPr>
          <w:rFonts w:asciiTheme="minorHAnsi" w:hAnsiTheme="minorHAnsi"/>
        </w:rPr>
        <w:t xml:space="preserve"> </w:t>
      </w:r>
      <w:r>
        <w:rPr>
          <w:rFonts w:asciiTheme="minorHAnsi" w:hAnsiTheme="minorHAnsi"/>
        </w:rPr>
        <w:t xml:space="preserve">Gift Givers Plan to Splurge on Friends, Family This Holiday Season, </w:t>
      </w:r>
      <w:r w:rsidRPr="00B75460">
        <w:rPr>
          <w:rFonts w:asciiTheme="minorHAnsi" w:hAnsiTheme="minorHAnsi" w:cs="Arial"/>
        </w:rPr>
        <w:t>October 16, 201</w:t>
      </w:r>
      <w:r w:rsidR="00EE00BA">
        <w:rPr>
          <w:rFonts w:asciiTheme="minorHAnsi" w:hAnsiTheme="minorHAnsi" w:cs="Arial"/>
        </w:rPr>
        <w:t>4</w:t>
      </w:r>
      <w:r w:rsidRPr="00B75460">
        <w:rPr>
          <w:rFonts w:asciiTheme="minorHAnsi" w:hAnsiTheme="minorHAnsi" w:cs="Arial"/>
        </w:rPr>
        <w:t xml:space="preserve">, National Retail Federation, </w:t>
      </w:r>
      <w:hyperlink r:id="rId2" w:history="1">
        <w:r w:rsidRPr="00B75460">
          <w:rPr>
            <w:rStyle w:val="Hyperlink"/>
            <w:rFonts w:asciiTheme="minorHAnsi" w:hAnsiTheme="minorHAnsi" w:cs="Arial"/>
          </w:rPr>
          <w:t>http://www.nrf.com</w:t>
        </w:r>
      </w:hyperlink>
      <w:r w:rsidRPr="00B75460">
        <w:rPr>
          <w:rFonts w:asciiTheme="minorHAnsi" w:hAnsiTheme="minorHAnsi" w:cs="Arial"/>
          <w:color w:val="0070C0"/>
        </w:rPr>
        <w:t xml:space="preserve">. </w:t>
      </w:r>
    </w:p>
  </w:footnote>
  <w:footnote w:id="5">
    <w:p w:rsidR="00D97B8B" w:rsidRDefault="00D97B8B" w:rsidP="00915403">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 xml:space="preserve">November 25, </w:t>
      </w:r>
      <w:r w:rsidR="00EE00BA">
        <w:rPr>
          <w:rFonts w:asciiTheme="minorHAnsi" w:hAnsiTheme="minorHAnsi"/>
        </w:rPr>
        <w:t xml:space="preserve">2014, </w:t>
      </w:r>
      <w:r>
        <w:rPr>
          <w:rFonts w:asciiTheme="minorHAnsi" w:hAnsiTheme="minorHAnsi"/>
        </w:rPr>
        <w:t xml:space="preserve">The Conference Board Consumer Confidence Index® Declines.”  </w:t>
      </w:r>
      <w:r w:rsidRPr="00A16353">
        <w:rPr>
          <w:rFonts w:asciiTheme="minorHAnsi" w:hAnsiTheme="minorHAnsi"/>
        </w:rPr>
        <w:t>(</w:t>
      </w:r>
      <w:hyperlink r:id="rId3" w:history="1">
        <w:r w:rsidRPr="00A16353">
          <w:rPr>
            <w:rStyle w:val="Hyperlink"/>
            <w:rFonts w:asciiTheme="minorHAnsi" w:hAnsiTheme="minorHAnsi"/>
          </w:rPr>
          <w:t>www.conference-board.org</w:t>
        </w:r>
      </w:hyperlink>
      <w:r w:rsidRPr="00A16353">
        <w:rPr>
          <w:rFonts w:asciiTheme="minorHAnsi" w:hAnsiTheme="minorHAnsi"/>
        </w:rPr>
        <w:t xml:space="preserve">).   </w:t>
      </w:r>
    </w:p>
    <w:p w:rsidR="00D97B8B" w:rsidRPr="00A16353" w:rsidRDefault="00D97B8B" w:rsidP="00915403">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D97B8B" w:rsidTr="00182CC7">
      <w:trPr>
        <w:trHeight w:val="288"/>
      </w:trPr>
      <w:tc>
        <w:tcPr>
          <w:tcW w:w="6955" w:type="dxa"/>
        </w:tcPr>
        <w:p w:rsidR="00D97B8B" w:rsidRPr="00EB2F31" w:rsidRDefault="00D97B8B" w:rsidP="00655E70">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December  </w:t>
          </w:r>
        </w:p>
      </w:tc>
      <w:tc>
        <w:tcPr>
          <w:tcW w:w="1915" w:type="dxa"/>
        </w:tcPr>
        <w:p w:rsidR="00D97B8B" w:rsidRPr="00EB2F31" w:rsidRDefault="00D97B8B" w:rsidP="004C6631">
          <w:pPr>
            <w:pStyle w:val="Header"/>
            <w:rPr>
              <w:rFonts w:asciiTheme="majorHAnsi" w:eastAsiaTheme="majorEastAsia" w:hAnsiTheme="majorHAnsi" w:cstheme="majorBidi"/>
              <w:b/>
              <w:bCs/>
            </w:rPr>
          </w:pPr>
          <w:r>
            <w:rPr>
              <w:rFonts w:asciiTheme="minorHAnsi" w:eastAsiaTheme="majorEastAsia" w:hAnsiTheme="minorHAnsi" w:cstheme="majorBidi"/>
              <w:b/>
              <w:bCs/>
            </w:rPr>
            <w:t>2014</w:t>
          </w:r>
        </w:p>
      </w:tc>
    </w:tr>
  </w:tbl>
  <w:p w:rsidR="00D97B8B" w:rsidRDefault="00D97B8B"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37F6"/>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488"/>
    <w:rsid w:val="00057F34"/>
    <w:rsid w:val="00060E48"/>
    <w:rsid w:val="00061B06"/>
    <w:rsid w:val="00067160"/>
    <w:rsid w:val="00067D56"/>
    <w:rsid w:val="00071D4A"/>
    <w:rsid w:val="00072761"/>
    <w:rsid w:val="00073B05"/>
    <w:rsid w:val="00075D28"/>
    <w:rsid w:val="00076FE5"/>
    <w:rsid w:val="000772F2"/>
    <w:rsid w:val="0007741E"/>
    <w:rsid w:val="00077997"/>
    <w:rsid w:val="00081507"/>
    <w:rsid w:val="000824E1"/>
    <w:rsid w:val="0008282D"/>
    <w:rsid w:val="00082E56"/>
    <w:rsid w:val="000870DA"/>
    <w:rsid w:val="0009131D"/>
    <w:rsid w:val="00091F2E"/>
    <w:rsid w:val="00092E33"/>
    <w:rsid w:val="000955D5"/>
    <w:rsid w:val="0009562A"/>
    <w:rsid w:val="00096506"/>
    <w:rsid w:val="000A12F3"/>
    <w:rsid w:val="000A1496"/>
    <w:rsid w:val="000A32D9"/>
    <w:rsid w:val="000A4BFC"/>
    <w:rsid w:val="000A7511"/>
    <w:rsid w:val="000B083F"/>
    <w:rsid w:val="000B1534"/>
    <w:rsid w:val="000B497B"/>
    <w:rsid w:val="000B4B84"/>
    <w:rsid w:val="000B4FBA"/>
    <w:rsid w:val="000B5FFA"/>
    <w:rsid w:val="000C179A"/>
    <w:rsid w:val="000C3180"/>
    <w:rsid w:val="000C44B8"/>
    <w:rsid w:val="000C5247"/>
    <w:rsid w:val="000C7541"/>
    <w:rsid w:val="000C7BA4"/>
    <w:rsid w:val="000D09DE"/>
    <w:rsid w:val="000D12D0"/>
    <w:rsid w:val="000D419E"/>
    <w:rsid w:val="000E2219"/>
    <w:rsid w:val="000E2578"/>
    <w:rsid w:val="000E34D4"/>
    <w:rsid w:val="000E3961"/>
    <w:rsid w:val="000E4447"/>
    <w:rsid w:val="000E4704"/>
    <w:rsid w:val="000E5D29"/>
    <w:rsid w:val="000E614E"/>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1FC3"/>
    <w:rsid w:val="00122342"/>
    <w:rsid w:val="00125541"/>
    <w:rsid w:val="001260DC"/>
    <w:rsid w:val="001266DE"/>
    <w:rsid w:val="00127E7A"/>
    <w:rsid w:val="00135090"/>
    <w:rsid w:val="00135989"/>
    <w:rsid w:val="00140EF4"/>
    <w:rsid w:val="00141231"/>
    <w:rsid w:val="001417F1"/>
    <w:rsid w:val="00144092"/>
    <w:rsid w:val="00145A12"/>
    <w:rsid w:val="00146F52"/>
    <w:rsid w:val="00147EDA"/>
    <w:rsid w:val="00150296"/>
    <w:rsid w:val="00150FC6"/>
    <w:rsid w:val="00154A7B"/>
    <w:rsid w:val="001560BE"/>
    <w:rsid w:val="00157A8B"/>
    <w:rsid w:val="001602C2"/>
    <w:rsid w:val="00160734"/>
    <w:rsid w:val="00161E62"/>
    <w:rsid w:val="00163A5A"/>
    <w:rsid w:val="00165924"/>
    <w:rsid w:val="00165C57"/>
    <w:rsid w:val="00170B01"/>
    <w:rsid w:val="00170B9A"/>
    <w:rsid w:val="00170D94"/>
    <w:rsid w:val="001725BA"/>
    <w:rsid w:val="00173458"/>
    <w:rsid w:val="00173882"/>
    <w:rsid w:val="0017454B"/>
    <w:rsid w:val="0017690B"/>
    <w:rsid w:val="001777FC"/>
    <w:rsid w:val="00177D7C"/>
    <w:rsid w:val="00182CC7"/>
    <w:rsid w:val="00184CC5"/>
    <w:rsid w:val="00185CB4"/>
    <w:rsid w:val="00190BE9"/>
    <w:rsid w:val="00192302"/>
    <w:rsid w:val="0019270C"/>
    <w:rsid w:val="001967C7"/>
    <w:rsid w:val="00197A8A"/>
    <w:rsid w:val="001A048A"/>
    <w:rsid w:val="001A19B2"/>
    <w:rsid w:val="001A1A56"/>
    <w:rsid w:val="001A22D8"/>
    <w:rsid w:val="001A3286"/>
    <w:rsid w:val="001A46E5"/>
    <w:rsid w:val="001A63D0"/>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6128"/>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226D"/>
    <w:rsid w:val="00215AD7"/>
    <w:rsid w:val="002164BE"/>
    <w:rsid w:val="00220760"/>
    <w:rsid w:val="00220A98"/>
    <w:rsid w:val="0022136E"/>
    <w:rsid w:val="0022312B"/>
    <w:rsid w:val="00223DD7"/>
    <w:rsid w:val="00225575"/>
    <w:rsid w:val="00225C18"/>
    <w:rsid w:val="0022619B"/>
    <w:rsid w:val="00226789"/>
    <w:rsid w:val="0022726B"/>
    <w:rsid w:val="002273AC"/>
    <w:rsid w:val="00231B64"/>
    <w:rsid w:val="00231BB4"/>
    <w:rsid w:val="00231C18"/>
    <w:rsid w:val="00231DDA"/>
    <w:rsid w:val="0024004A"/>
    <w:rsid w:val="002428DB"/>
    <w:rsid w:val="00242C00"/>
    <w:rsid w:val="002432C1"/>
    <w:rsid w:val="00245444"/>
    <w:rsid w:val="002459EB"/>
    <w:rsid w:val="0025000D"/>
    <w:rsid w:val="00251195"/>
    <w:rsid w:val="00254BD6"/>
    <w:rsid w:val="00255667"/>
    <w:rsid w:val="00255A5B"/>
    <w:rsid w:val="00255F17"/>
    <w:rsid w:val="00256CBB"/>
    <w:rsid w:val="002608A5"/>
    <w:rsid w:val="00260C6A"/>
    <w:rsid w:val="00261238"/>
    <w:rsid w:val="002638EB"/>
    <w:rsid w:val="0026446F"/>
    <w:rsid w:val="00267A52"/>
    <w:rsid w:val="00270734"/>
    <w:rsid w:val="0027265D"/>
    <w:rsid w:val="00273925"/>
    <w:rsid w:val="00273EC8"/>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BB7"/>
    <w:rsid w:val="002C2E16"/>
    <w:rsid w:val="002C318D"/>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4142"/>
    <w:rsid w:val="002D53D6"/>
    <w:rsid w:val="002D652F"/>
    <w:rsid w:val="002E038E"/>
    <w:rsid w:val="002E0C93"/>
    <w:rsid w:val="002E21FD"/>
    <w:rsid w:val="002E2DAC"/>
    <w:rsid w:val="002F04CE"/>
    <w:rsid w:val="002F101C"/>
    <w:rsid w:val="002F14A9"/>
    <w:rsid w:val="002F176B"/>
    <w:rsid w:val="002F1853"/>
    <w:rsid w:val="002F566F"/>
    <w:rsid w:val="002F5BB5"/>
    <w:rsid w:val="002F5F08"/>
    <w:rsid w:val="002F6834"/>
    <w:rsid w:val="002F7414"/>
    <w:rsid w:val="002F74EE"/>
    <w:rsid w:val="00301A4E"/>
    <w:rsid w:val="00301E61"/>
    <w:rsid w:val="00303944"/>
    <w:rsid w:val="0030402A"/>
    <w:rsid w:val="00310C5F"/>
    <w:rsid w:val="003113C8"/>
    <w:rsid w:val="00312BBE"/>
    <w:rsid w:val="00313761"/>
    <w:rsid w:val="00314252"/>
    <w:rsid w:val="00315469"/>
    <w:rsid w:val="003172FD"/>
    <w:rsid w:val="00317840"/>
    <w:rsid w:val="00320666"/>
    <w:rsid w:val="0032093F"/>
    <w:rsid w:val="00320E2E"/>
    <w:rsid w:val="00321B9E"/>
    <w:rsid w:val="00321F35"/>
    <w:rsid w:val="00322D52"/>
    <w:rsid w:val="00327ED0"/>
    <w:rsid w:val="00335063"/>
    <w:rsid w:val="003359D4"/>
    <w:rsid w:val="00340663"/>
    <w:rsid w:val="003416F4"/>
    <w:rsid w:val="003425D9"/>
    <w:rsid w:val="00342C3E"/>
    <w:rsid w:val="00342C60"/>
    <w:rsid w:val="00344F23"/>
    <w:rsid w:val="0034564A"/>
    <w:rsid w:val="00345ED2"/>
    <w:rsid w:val="00347EB8"/>
    <w:rsid w:val="003517E0"/>
    <w:rsid w:val="00351B9E"/>
    <w:rsid w:val="00351F24"/>
    <w:rsid w:val="003520FD"/>
    <w:rsid w:val="00352B5E"/>
    <w:rsid w:val="003530FA"/>
    <w:rsid w:val="00354B9C"/>
    <w:rsid w:val="00355C32"/>
    <w:rsid w:val="0035630D"/>
    <w:rsid w:val="0035643A"/>
    <w:rsid w:val="00356BDC"/>
    <w:rsid w:val="003577A9"/>
    <w:rsid w:val="003600C3"/>
    <w:rsid w:val="00361AB3"/>
    <w:rsid w:val="00361FC1"/>
    <w:rsid w:val="00363C3A"/>
    <w:rsid w:val="00365398"/>
    <w:rsid w:val="00367795"/>
    <w:rsid w:val="00370DCC"/>
    <w:rsid w:val="00371D44"/>
    <w:rsid w:val="003735A6"/>
    <w:rsid w:val="0037475C"/>
    <w:rsid w:val="00380012"/>
    <w:rsid w:val="00381982"/>
    <w:rsid w:val="00381E32"/>
    <w:rsid w:val="00381E71"/>
    <w:rsid w:val="00382540"/>
    <w:rsid w:val="0038364E"/>
    <w:rsid w:val="00383A92"/>
    <w:rsid w:val="00386963"/>
    <w:rsid w:val="003875F8"/>
    <w:rsid w:val="00390708"/>
    <w:rsid w:val="00391D1B"/>
    <w:rsid w:val="003935C6"/>
    <w:rsid w:val="00393723"/>
    <w:rsid w:val="00395AAC"/>
    <w:rsid w:val="00396B23"/>
    <w:rsid w:val="00396E7A"/>
    <w:rsid w:val="003974BD"/>
    <w:rsid w:val="003A0864"/>
    <w:rsid w:val="003A2608"/>
    <w:rsid w:val="003A3CCF"/>
    <w:rsid w:val="003A68FC"/>
    <w:rsid w:val="003A6A52"/>
    <w:rsid w:val="003A7112"/>
    <w:rsid w:val="003A779B"/>
    <w:rsid w:val="003B1186"/>
    <w:rsid w:val="003B1889"/>
    <w:rsid w:val="003B282C"/>
    <w:rsid w:val="003B4C23"/>
    <w:rsid w:val="003B7D00"/>
    <w:rsid w:val="003C101C"/>
    <w:rsid w:val="003C133F"/>
    <w:rsid w:val="003C1AC6"/>
    <w:rsid w:val="003C1E90"/>
    <w:rsid w:val="003C3766"/>
    <w:rsid w:val="003C5A95"/>
    <w:rsid w:val="003C7285"/>
    <w:rsid w:val="003C7D6B"/>
    <w:rsid w:val="003D0250"/>
    <w:rsid w:val="003D0739"/>
    <w:rsid w:val="003D07F1"/>
    <w:rsid w:val="003D1F42"/>
    <w:rsid w:val="003D1FF2"/>
    <w:rsid w:val="003D545D"/>
    <w:rsid w:val="003E115F"/>
    <w:rsid w:val="003E179E"/>
    <w:rsid w:val="003E19F4"/>
    <w:rsid w:val="003E1C1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5A55"/>
    <w:rsid w:val="0042637E"/>
    <w:rsid w:val="00426E98"/>
    <w:rsid w:val="00430F04"/>
    <w:rsid w:val="00431AD9"/>
    <w:rsid w:val="00432CD0"/>
    <w:rsid w:val="00444552"/>
    <w:rsid w:val="004446CD"/>
    <w:rsid w:val="0044620B"/>
    <w:rsid w:val="0044766A"/>
    <w:rsid w:val="0045039C"/>
    <w:rsid w:val="004507E7"/>
    <w:rsid w:val="00451D36"/>
    <w:rsid w:val="00452A4D"/>
    <w:rsid w:val="00453B0F"/>
    <w:rsid w:val="00453C72"/>
    <w:rsid w:val="00453FB1"/>
    <w:rsid w:val="00454711"/>
    <w:rsid w:val="00454876"/>
    <w:rsid w:val="00455054"/>
    <w:rsid w:val="0045680F"/>
    <w:rsid w:val="00456E34"/>
    <w:rsid w:val="004577DD"/>
    <w:rsid w:val="00460C7C"/>
    <w:rsid w:val="004631E8"/>
    <w:rsid w:val="0046324A"/>
    <w:rsid w:val="00463CC6"/>
    <w:rsid w:val="00464C39"/>
    <w:rsid w:val="00465448"/>
    <w:rsid w:val="0046729E"/>
    <w:rsid w:val="0046736F"/>
    <w:rsid w:val="00467FAD"/>
    <w:rsid w:val="00474601"/>
    <w:rsid w:val="00477152"/>
    <w:rsid w:val="00480D3A"/>
    <w:rsid w:val="00481431"/>
    <w:rsid w:val="0048167A"/>
    <w:rsid w:val="0048301F"/>
    <w:rsid w:val="0048318A"/>
    <w:rsid w:val="0048484C"/>
    <w:rsid w:val="00484CEF"/>
    <w:rsid w:val="00486BAD"/>
    <w:rsid w:val="00486E56"/>
    <w:rsid w:val="00487144"/>
    <w:rsid w:val="0048745E"/>
    <w:rsid w:val="00487D93"/>
    <w:rsid w:val="00492AE3"/>
    <w:rsid w:val="00492B5A"/>
    <w:rsid w:val="00493840"/>
    <w:rsid w:val="0049404A"/>
    <w:rsid w:val="004951A0"/>
    <w:rsid w:val="004960A8"/>
    <w:rsid w:val="00497900"/>
    <w:rsid w:val="004A0ED7"/>
    <w:rsid w:val="004A1A29"/>
    <w:rsid w:val="004A2A09"/>
    <w:rsid w:val="004A7012"/>
    <w:rsid w:val="004B006D"/>
    <w:rsid w:val="004B1E44"/>
    <w:rsid w:val="004B2F75"/>
    <w:rsid w:val="004B44E6"/>
    <w:rsid w:val="004B4AC0"/>
    <w:rsid w:val="004B4DFC"/>
    <w:rsid w:val="004B4F70"/>
    <w:rsid w:val="004B5AFA"/>
    <w:rsid w:val="004C01BA"/>
    <w:rsid w:val="004C1B50"/>
    <w:rsid w:val="004C1E63"/>
    <w:rsid w:val="004C214B"/>
    <w:rsid w:val="004C2CAC"/>
    <w:rsid w:val="004C2F21"/>
    <w:rsid w:val="004C397F"/>
    <w:rsid w:val="004C6631"/>
    <w:rsid w:val="004C7167"/>
    <w:rsid w:val="004D0579"/>
    <w:rsid w:val="004D2E9E"/>
    <w:rsid w:val="004D52E3"/>
    <w:rsid w:val="004E3164"/>
    <w:rsid w:val="004F13A0"/>
    <w:rsid w:val="004F1E98"/>
    <w:rsid w:val="004F23CE"/>
    <w:rsid w:val="004F2D9D"/>
    <w:rsid w:val="004F55D8"/>
    <w:rsid w:val="004F5C3E"/>
    <w:rsid w:val="004F5FA4"/>
    <w:rsid w:val="00500677"/>
    <w:rsid w:val="005011D9"/>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669"/>
    <w:rsid w:val="0053382C"/>
    <w:rsid w:val="00533D66"/>
    <w:rsid w:val="00534FDB"/>
    <w:rsid w:val="00535FA0"/>
    <w:rsid w:val="00536684"/>
    <w:rsid w:val="005400FF"/>
    <w:rsid w:val="0054070A"/>
    <w:rsid w:val="00542DBF"/>
    <w:rsid w:val="005461C9"/>
    <w:rsid w:val="00546A3A"/>
    <w:rsid w:val="005506DE"/>
    <w:rsid w:val="0055079F"/>
    <w:rsid w:val="005519C2"/>
    <w:rsid w:val="00552AAE"/>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8A6"/>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1D3D"/>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36F3"/>
    <w:rsid w:val="005D5B2B"/>
    <w:rsid w:val="005D7983"/>
    <w:rsid w:val="005E2A52"/>
    <w:rsid w:val="005E4856"/>
    <w:rsid w:val="005E61A0"/>
    <w:rsid w:val="005E6F12"/>
    <w:rsid w:val="005F1A8C"/>
    <w:rsid w:val="005F3826"/>
    <w:rsid w:val="0060076C"/>
    <w:rsid w:val="006035BB"/>
    <w:rsid w:val="006047C8"/>
    <w:rsid w:val="00606606"/>
    <w:rsid w:val="00610A1E"/>
    <w:rsid w:val="00613500"/>
    <w:rsid w:val="006161B6"/>
    <w:rsid w:val="006171B9"/>
    <w:rsid w:val="0061763B"/>
    <w:rsid w:val="0061769D"/>
    <w:rsid w:val="006244C9"/>
    <w:rsid w:val="0062543B"/>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4499"/>
    <w:rsid w:val="00655728"/>
    <w:rsid w:val="006558E4"/>
    <w:rsid w:val="00655986"/>
    <w:rsid w:val="00655E70"/>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2E24"/>
    <w:rsid w:val="0069376D"/>
    <w:rsid w:val="00694670"/>
    <w:rsid w:val="00695980"/>
    <w:rsid w:val="00696881"/>
    <w:rsid w:val="00697CC6"/>
    <w:rsid w:val="006A1374"/>
    <w:rsid w:val="006A2289"/>
    <w:rsid w:val="006A445E"/>
    <w:rsid w:val="006A4E8E"/>
    <w:rsid w:val="006A53FC"/>
    <w:rsid w:val="006A750C"/>
    <w:rsid w:val="006B03E2"/>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6F7332"/>
    <w:rsid w:val="00700BEB"/>
    <w:rsid w:val="00701F7A"/>
    <w:rsid w:val="007044AA"/>
    <w:rsid w:val="0070502B"/>
    <w:rsid w:val="00705656"/>
    <w:rsid w:val="0070586E"/>
    <w:rsid w:val="00706059"/>
    <w:rsid w:val="00706353"/>
    <w:rsid w:val="00706A0F"/>
    <w:rsid w:val="00706F95"/>
    <w:rsid w:val="0070722D"/>
    <w:rsid w:val="00707F66"/>
    <w:rsid w:val="00710B02"/>
    <w:rsid w:val="007118AE"/>
    <w:rsid w:val="00716F5D"/>
    <w:rsid w:val="00717044"/>
    <w:rsid w:val="0072215C"/>
    <w:rsid w:val="007221A8"/>
    <w:rsid w:val="007224A1"/>
    <w:rsid w:val="007236D9"/>
    <w:rsid w:val="00724284"/>
    <w:rsid w:val="007272CE"/>
    <w:rsid w:val="0073144A"/>
    <w:rsid w:val="00731484"/>
    <w:rsid w:val="007315AF"/>
    <w:rsid w:val="007319B9"/>
    <w:rsid w:val="00734564"/>
    <w:rsid w:val="00735669"/>
    <w:rsid w:val="0073620F"/>
    <w:rsid w:val="0073743A"/>
    <w:rsid w:val="00741192"/>
    <w:rsid w:val="007417E5"/>
    <w:rsid w:val="00742804"/>
    <w:rsid w:val="00744663"/>
    <w:rsid w:val="00746E96"/>
    <w:rsid w:val="00750063"/>
    <w:rsid w:val="007514F1"/>
    <w:rsid w:val="00752294"/>
    <w:rsid w:val="00753CE9"/>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A6F4D"/>
    <w:rsid w:val="007B02AB"/>
    <w:rsid w:val="007B041F"/>
    <w:rsid w:val="007B0AE0"/>
    <w:rsid w:val="007B1A32"/>
    <w:rsid w:val="007B2101"/>
    <w:rsid w:val="007B3998"/>
    <w:rsid w:val="007B65BF"/>
    <w:rsid w:val="007C1CE7"/>
    <w:rsid w:val="007C3C61"/>
    <w:rsid w:val="007C4244"/>
    <w:rsid w:val="007C47FE"/>
    <w:rsid w:val="007C4B2E"/>
    <w:rsid w:val="007C5518"/>
    <w:rsid w:val="007C5C5E"/>
    <w:rsid w:val="007C5F34"/>
    <w:rsid w:val="007C67E8"/>
    <w:rsid w:val="007C6976"/>
    <w:rsid w:val="007C7D8F"/>
    <w:rsid w:val="007D00C1"/>
    <w:rsid w:val="007D350E"/>
    <w:rsid w:val="007D4F0C"/>
    <w:rsid w:val="007D5075"/>
    <w:rsid w:val="007D533C"/>
    <w:rsid w:val="007D6BF3"/>
    <w:rsid w:val="007E0E30"/>
    <w:rsid w:val="007E280D"/>
    <w:rsid w:val="007E4401"/>
    <w:rsid w:val="007E55A2"/>
    <w:rsid w:val="007E5AFF"/>
    <w:rsid w:val="007E7012"/>
    <w:rsid w:val="007E7ACF"/>
    <w:rsid w:val="007F2734"/>
    <w:rsid w:val="007F2A89"/>
    <w:rsid w:val="007F2C10"/>
    <w:rsid w:val="007F3C92"/>
    <w:rsid w:val="007F542A"/>
    <w:rsid w:val="007F5C7E"/>
    <w:rsid w:val="007F5E6D"/>
    <w:rsid w:val="007F668D"/>
    <w:rsid w:val="007F7EB7"/>
    <w:rsid w:val="00802581"/>
    <w:rsid w:val="008025F1"/>
    <w:rsid w:val="008036C5"/>
    <w:rsid w:val="0080465A"/>
    <w:rsid w:val="0080532D"/>
    <w:rsid w:val="00807AD8"/>
    <w:rsid w:val="00807FB1"/>
    <w:rsid w:val="0081051F"/>
    <w:rsid w:val="008122A1"/>
    <w:rsid w:val="00812F40"/>
    <w:rsid w:val="00813954"/>
    <w:rsid w:val="00813A3C"/>
    <w:rsid w:val="00815382"/>
    <w:rsid w:val="00816412"/>
    <w:rsid w:val="00817DBB"/>
    <w:rsid w:val="00817E37"/>
    <w:rsid w:val="0082033A"/>
    <w:rsid w:val="00820357"/>
    <w:rsid w:val="00820BB1"/>
    <w:rsid w:val="008226C7"/>
    <w:rsid w:val="008243A0"/>
    <w:rsid w:val="00827DF3"/>
    <w:rsid w:val="00830A15"/>
    <w:rsid w:val="00830E72"/>
    <w:rsid w:val="008327B0"/>
    <w:rsid w:val="008333CE"/>
    <w:rsid w:val="008346D6"/>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77A8B"/>
    <w:rsid w:val="0088074C"/>
    <w:rsid w:val="008809D7"/>
    <w:rsid w:val="00881187"/>
    <w:rsid w:val="008812B0"/>
    <w:rsid w:val="00883C5D"/>
    <w:rsid w:val="008906A6"/>
    <w:rsid w:val="00891364"/>
    <w:rsid w:val="00891900"/>
    <w:rsid w:val="00892671"/>
    <w:rsid w:val="00892687"/>
    <w:rsid w:val="0089433D"/>
    <w:rsid w:val="00894B46"/>
    <w:rsid w:val="0089602C"/>
    <w:rsid w:val="00896B4D"/>
    <w:rsid w:val="008A1787"/>
    <w:rsid w:val="008A5155"/>
    <w:rsid w:val="008A557E"/>
    <w:rsid w:val="008A55CA"/>
    <w:rsid w:val="008A757A"/>
    <w:rsid w:val="008B07CF"/>
    <w:rsid w:val="008B50C4"/>
    <w:rsid w:val="008B767B"/>
    <w:rsid w:val="008C35E3"/>
    <w:rsid w:val="008C483D"/>
    <w:rsid w:val="008C68FB"/>
    <w:rsid w:val="008C6FB5"/>
    <w:rsid w:val="008D0C3F"/>
    <w:rsid w:val="008D1183"/>
    <w:rsid w:val="008D1959"/>
    <w:rsid w:val="008D5AD9"/>
    <w:rsid w:val="008D5F5E"/>
    <w:rsid w:val="008D70F0"/>
    <w:rsid w:val="008D7786"/>
    <w:rsid w:val="008E1173"/>
    <w:rsid w:val="008E2EA5"/>
    <w:rsid w:val="008E49F9"/>
    <w:rsid w:val="008E5F50"/>
    <w:rsid w:val="008E7B5D"/>
    <w:rsid w:val="008F02C3"/>
    <w:rsid w:val="008F07FF"/>
    <w:rsid w:val="008F0B52"/>
    <w:rsid w:val="008F171F"/>
    <w:rsid w:val="008F3A00"/>
    <w:rsid w:val="008F4CA8"/>
    <w:rsid w:val="008F4FE1"/>
    <w:rsid w:val="008F524D"/>
    <w:rsid w:val="008F533A"/>
    <w:rsid w:val="008F658F"/>
    <w:rsid w:val="009008C5"/>
    <w:rsid w:val="009017D8"/>
    <w:rsid w:val="00902CCD"/>
    <w:rsid w:val="00906320"/>
    <w:rsid w:val="00906506"/>
    <w:rsid w:val="0090681D"/>
    <w:rsid w:val="00906A6F"/>
    <w:rsid w:val="00906A94"/>
    <w:rsid w:val="00907ED2"/>
    <w:rsid w:val="0091082B"/>
    <w:rsid w:val="00911421"/>
    <w:rsid w:val="009124B0"/>
    <w:rsid w:val="0091272D"/>
    <w:rsid w:val="00912D00"/>
    <w:rsid w:val="00915325"/>
    <w:rsid w:val="00915403"/>
    <w:rsid w:val="0091589E"/>
    <w:rsid w:val="00916AF7"/>
    <w:rsid w:val="009173C5"/>
    <w:rsid w:val="00917C9D"/>
    <w:rsid w:val="00924931"/>
    <w:rsid w:val="009263A8"/>
    <w:rsid w:val="00927231"/>
    <w:rsid w:val="009274E8"/>
    <w:rsid w:val="00930277"/>
    <w:rsid w:val="009317A3"/>
    <w:rsid w:val="0093396A"/>
    <w:rsid w:val="00933C5A"/>
    <w:rsid w:val="00933DBC"/>
    <w:rsid w:val="00934898"/>
    <w:rsid w:val="0093500E"/>
    <w:rsid w:val="00935D3F"/>
    <w:rsid w:val="009361B7"/>
    <w:rsid w:val="009368D5"/>
    <w:rsid w:val="00940857"/>
    <w:rsid w:val="009423D9"/>
    <w:rsid w:val="009429E5"/>
    <w:rsid w:val="00943106"/>
    <w:rsid w:val="009455D8"/>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26A"/>
    <w:rsid w:val="0097170D"/>
    <w:rsid w:val="00972D87"/>
    <w:rsid w:val="009739F2"/>
    <w:rsid w:val="0097400D"/>
    <w:rsid w:val="00975FF6"/>
    <w:rsid w:val="00976A05"/>
    <w:rsid w:val="009771F1"/>
    <w:rsid w:val="009776EB"/>
    <w:rsid w:val="0097772C"/>
    <w:rsid w:val="00980020"/>
    <w:rsid w:val="009804AC"/>
    <w:rsid w:val="0098153E"/>
    <w:rsid w:val="00982112"/>
    <w:rsid w:val="009821BD"/>
    <w:rsid w:val="009848AC"/>
    <w:rsid w:val="00985C05"/>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D2ED6"/>
    <w:rsid w:val="009E256E"/>
    <w:rsid w:val="009E2622"/>
    <w:rsid w:val="009E27AD"/>
    <w:rsid w:val="009E29D4"/>
    <w:rsid w:val="009E4450"/>
    <w:rsid w:val="009E4D9D"/>
    <w:rsid w:val="009E4DF4"/>
    <w:rsid w:val="009E5F7E"/>
    <w:rsid w:val="009F2199"/>
    <w:rsid w:val="009F27C3"/>
    <w:rsid w:val="009F3947"/>
    <w:rsid w:val="00A0104E"/>
    <w:rsid w:val="00A02A53"/>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CF5"/>
    <w:rsid w:val="00A32EB7"/>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86DD9"/>
    <w:rsid w:val="00A95021"/>
    <w:rsid w:val="00A958CF"/>
    <w:rsid w:val="00A95F19"/>
    <w:rsid w:val="00AA0281"/>
    <w:rsid w:val="00AA07CF"/>
    <w:rsid w:val="00AA2096"/>
    <w:rsid w:val="00AA2481"/>
    <w:rsid w:val="00AA286E"/>
    <w:rsid w:val="00AA5AD3"/>
    <w:rsid w:val="00AA5DA5"/>
    <w:rsid w:val="00AB11A5"/>
    <w:rsid w:val="00AB342D"/>
    <w:rsid w:val="00AB397F"/>
    <w:rsid w:val="00AB40A9"/>
    <w:rsid w:val="00AB5B49"/>
    <w:rsid w:val="00AB5D71"/>
    <w:rsid w:val="00AB6215"/>
    <w:rsid w:val="00AB6787"/>
    <w:rsid w:val="00AB6E06"/>
    <w:rsid w:val="00AB7C30"/>
    <w:rsid w:val="00AC43A3"/>
    <w:rsid w:val="00AC6506"/>
    <w:rsid w:val="00AD0202"/>
    <w:rsid w:val="00AD22B9"/>
    <w:rsid w:val="00AD2EA6"/>
    <w:rsid w:val="00AD3BAB"/>
    <w:rsid w:val="00AD4106"/>
    <w:rsid w:val="00AD6A3A"/>
    <w:rsid w:val="00AD749D"/>
    <w:rsid w:val="00AE05F7"/>
    <w:rsid w:val="00AE1079"/>
    <w:rsid w:val="00AE2FD6"/>
    <w:rsid w:val="00AE64F6"/>
    <w:rsid w:val="00AF0261"/>
    <w:rsid w:val="00AF02C6"/>
    <w:rsid w:val="00AF0E53"/>
    <w:rsid w:val="00AF228F"/>
    <w:rsid w:val="00AF671E"/>
    <w:rsid w:val="00B00BD0"/>
    <w:rsid w:val="00B0102F"/>
    <w:rsid w:val="00B02A7A"/>
    <w:rsid w:val="00B02EAC"/>
    <w:rsid w:val="00B033AE"/>
    <w:rsid w:val="00B0528B"/>
    <w:rsid w:val="00B060D2"/>
    <w:rsid w:val="00B0650B"/>
    <w:rsid w:val="00B06511"/>
    <w:rsid w:val="00B06953"/>
    <w:rsid w:val="00B0710E"/>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5378"/>
    <w:rsid w:val="00B35B21"/>
    <w:rsid w:val="00B361E9"/>
    <w:rsid w:val="00B36596"/>
    <w:rsid w:val="00B41102"/>
    <w:rsid w:val="00B413F8"/>
    <w:rsid w:val="00B42B02"/>
    <w:rsid w:val="00B43704"/>
    <w:rsid w:val="00B449CC"/>
    <w:rsid w:val="00B44B26"/>
    <w:rsid w:val="00B44B59"/>
    <w:rsid w:val="00B4601A"/>
    <w:rsid w:val="00B4603A"/>
    <w:rsid w:val="00B462A1"/>
    <w:rsid w:val="00B478BF"/>
    <w:rsid w:val="00B52C1D"/>
    <w:rsid w:val="00B55575"/>
    <w:rsid w:val="00B56719"/>
    <w:rsid w:val="00B57B1E"/>
    <w:rsid w:val="00B6076A"/>
    <w:rsid w:val="00B60843"/>
    <w:rsid w:val="00B618EE"/>
    <w:rsid w:val="00B61D92"/>
    <w:rsid w:val="00B628CE"/>
    <w:rsid w:val="00B648BF"/>
    <w:rsid w:val="00B661BD"/>
    <w:rsid w:val="00B66F26"/>
    <w:rsid w:val="00B701A0"/>
    <w:rsid w:val="00B71D7E"/>
    <w:rsid w:val="00B75460"/>
    <w:rsid w:val="00B759CE"/>
    <w:rsid w:val="00B7651F"/>
    <w:rsid w:val="00B80D46"/>
    <w:rsid w:val="00B84F3B"/>
    <w:rsid w:val="00B86046"/>
    <w:rsid w:val="00B8681A"/>
    <w:rsid w:val="00B86B97"/>
    <w:rsid w:val="00B901EA"/>
    <w:rsid w:val="00B93699"/>
    <w:rsid w:val="00B94B51"/>
    <w:rsid w:val="00B954E0"/>
    <w:rsid w:val="00B9580C"/>
    <w:rsid w:val="00B95C3C"/>
    <w:rsid w:val="00B9747F"/>
    <w:rsid w:val="00BA105A"/>
    <w:rsid w:val="00BA3118"/>
    <w:rsid w:val="00BA5758"/>
    <w:rsid w:val="00BA5ABC"/>
    <w:rsid w:val="00BA5B53"/>
    <w:rsid w:val="00BA63C3"/>
    <w:rsid w:val="00BB1A08"/>
    <w:rsid w:val="00BB1A2A"/>
    <w:rsid w:val="00BB1BA0"/>
    <w:rsid w:val="00BB4F04"/>
    <w:rsid w:val="00BB58F1"/>
    <w:rsid w:val="00BC26BC"/>
    <w:rsid w:val="00BC5130"/>
    <w:rsid w:val="00BC5313"/>
    <w:rsid w:val="00BC5968"/>
    <w:rsid w:val="00BC5BB4"/>
    <w:rsid w:val="00BC606F"/>
    <w:rsid w:val="00BC6616"/>
    <w:rsid w:val="00BC6850"/>
    <w:rsid w:val="00BC6BAC"/>
    <w:rsid w:val="00BD2068"/>
    <w:rsid w:val="00BD3D7C"/>
    <w:rsid w:val="00BD42F4"/>
    <w:rsid w:val="00BD687F"/>
    <w:rsid w:val="00BD6A40"/>
    <w:rsid w:val="00BD7307"/>
    <w:rsid w:val="00BE0E77"/>
    <w:rsid w:val="00BE1D68"/>
    <w:rsid w:val="00BE209C"/>
    <w:rsid w:val="00BE255B"/>
    <w:rsid w:val="00BE46FC"/>
    <w:rsid w:val="00BE52E8"/>
    <w:rsid w:val="00BE5A9F"/>
    <w:rsid w:val="00BE639D"/>
    <w:rsid w:val="00BE6A7D"/>
    <w:rsid w:val="00BE6B4C"/>
    <w:rsid w:val="00BF3547"/>
    <w:rsid w:val="00BF45D5"/>
    <w:rsid w:val="00BF468A"/>
    <w:rsid w:val="00C02512"/>
    <w:rsid w:val="00C031DB"/>
    <w:rsid w:val="00C06989"/>
    <w:rsid w:val="00C10FE4"/>
    <w:rsid w:val="00C1123E"/>
    <w:rsid w:val="00C11718"/>
    <w:rsid w:val="00C11FF2"/>
    <w:rsid w:val="00C14356"/>
    <w:rsid w:val="00C16A07"/>
    <w:rsid w:val="00C173AA"/>
    <w:rsid w:val="00C17EC4"/>
    <w:rsid w:val="00C201F4"/>
    <w:rsid w:val="00C210E3"/>
    <w:rsid w:val="00C24F83"/>
    <w:rsid w:val="00C251A5"/>
    <w:rsid w:val="00C25C98"/>
    <w:rsid w:val="00C27BF1"/>
    <w:rsid w:val="00C30209"/>
    <w:rsid w:val="00C31B88"/>
    <w:rsid w:val="00C34803"/>
    <w:rsid w:val="00C34D13"/>
    <w:rsid w:val="00C410DE"/>
    <w:rsid w:val="00C43194"/>
    <w:rsid w:val="00C4348A"/>
    <w:rsid w:val="00C43956"/>
    <w:rsid w:val="00C45DAA"/>
    <w:rsid w:val="00C461C7"/>
    <w:rsid w:val="00C47731"/>
    <w:rsid w:val="00C53440"/>
    <w:rsid w:val="00C53E75"/>
    <w:rsid w:val="00C548CD"/>
    <w:rsid w:val="00C54C42"/>
    <w:rsid w:val="00C5758B"/>
    <w:rsid w:val="00C61017"/>
    <w:rsid w:val="00C61684"/>
    <w:rsid w:val="00C616AF"/>
    <w:rsid w:val="00C62958"/>
    <w:rsid w:val="00C63719"/>
    <w:rsid w:val="00C63D4F"/>
    <w:rsid w:val="00C64229"/>
    <w:rsid w:val="00C66EEF"/>
    <w:rsid w:val="00C67BD0"/>
    <w:rsid w:val="00C70556"/>
    <w:rsid w:val="00C720CD"/>
    <w:rsid w:val="00C73A63"/>
    <w:rsid w:val="00C74185"/>
    <w:rsid w:val="00C75092"/>
    <w:rsid w:val="00C75332"/>
    <w:rsid w:val="00C76435"/>
    <w:rsid w:val="00C76DE2"/>
    <w:rsid w:val="00C770E3"/>
    <w:rsid w:val="00C806A8"/>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D2F"/>
    <w:rsid w:val="00CA7F8F"/>
    <w:rsid w:val="00CB1418"/>
    <w:rsid w:val="00CB21F4"/>
    <w:rsid w:val="00CB2298"/>
    <w:rsid w:val="00CB25CE"/>
    <w:rsid w:val="00CB2800"/>
    <w:rsid w:val="00CB7F76"/>
    <w:rsid w:val="00CC1B83"/>
    <w:rsid w:val="00CC37FD"/>
    <w:rsid w:val="00CC4EA6"/>
    <w:rsid w:val="00CD07B2"/>
    <w:rsid w:val="00CD09EB"/>
    <w:rsid w:val="00CD4331"/>
    <w:rsid w:val="00CD4DCE"/>
    <w:rsid w:val="00CE113A"/>
    <w:rsid w:val="00CE196D"/>
    <w:rsid w:val="00CE1B28"/>
    <w:rsid w:val="00CE2440"/>
    <w:rsid w:val="00CE25AA"/>
    <w:rsid w:val="00CE397C"/>
    <w:rsid w:val="00CE3C80"/>
    <w:rsid w:val="00CE6F3F"/>
    <w:rsid w:val="00CF01A8"/>
    <w:rsid w:val="00CF0C9F"/>
    <w:rsid w:val="00CF1606"/>
    <w:rsid w:val="00D013D6"/>
    <w:rsid w:val="00D02919"/>
    <w:rsid w:val="00D030D3"/>
    <w:rsid w:val="00D053BC"/>
    <w:rsid w:val="00D06956"/>
    <w:rsid w:val="00D072B9"/>
    <w:rsid w:val="00D0766D"/>
    <w:rsid w:val="00D10A0D"/>
    <w:rsid w:val="00D10FBC"/>
    <w:rsid w:val="00D11C43"/>
    <w:rsid w:val="00D14F8A"/>
    <w:rsid w:val="00D15EB5"/>
    <w:rsid w:val="00D161C8"/>
    <w:rsid w:val="00D16608"/>
    <w:rsid w:val="00D16AAF"/>
    <w:rsid w:val="00D1752A"/>
    <w:rsid w:val="00D21C37"/>
    <w:rsid w:val="00D22D0E"/>
    <w:rsid w:val="00D22EFC"/>
    <w:rsid w:val="00D274CD"/>
    <w:rsid w:val="00D304FA"/>
    <w:rsid w:val="00D308C1"/>
    <w:rsid w:val="00D31F1E"/>
    <w:rsid w:val="00D33602"/>
    <w:rsid w:val="00D33CDC"/>
    <w:rsid w:val="00D359F4"/>
    <w:rsid w:val="00D36AF1"/>
    <w:rsid w:val="00D40077"/>
    <w:rsid w:val="00D422B4"/>
    <w:rsid w:val="00D4573D"/>
    <w:rsid w:val="00D46A37"/>
    <w:rsid w:val="00D5151B"/>
    <w:rsid w:val="00D5157D"/>
    <w:rsid w:val="00D51861"/>
    <w:rsid w:val="00D51D6B"/>
    <w:rsid w:val="00D52E0C"/>
    <w:rsid w:val="00D545E3"/>
    <w:rsid w:val="00D62237"/>
    <w:rsid w:val="00D62C8E"/>
    <w:rsid w:val="00D62CAC"/>
    <w:rsid w:val="00D63BD9"/>
    <w:rsid w:val="00D6459B"/>
    <w:rsid w:val="00D649FB"/>
    <w:rsid w:val="00D65A88"/>
    <w:rsid w:val="00D7131C"/>
    <w:rsid w:val="00D73650"/>
    <w:rsid w:val="00D73D12"/>
    <w:rsid w:val="00D755A2"/>
    <w:rsid w:val="00D75CD8"/>
    <w:rsid w:val="00D75F8B"/>
    <w:rsid w:val="00D811F0"/>
    <w:rsid w:val="00D81614"/>
    <w:rsid w:val="00D8186F"/>
    <w:rsid w:val="00D81998"/>
    <w:rsid w:val="00D81FA3"/>
    <w:rsid w:val="00D84E58"/>
    <w:rsid w:val="00D850E7"/>
    <w:rsid w:val="00D85D5E"/>
    <w:rsid w:val="00D85F55"/>
    <w:rsid w:val="00D8749B"/>
    <w:rsid w:val="00D91A4C"/>
    <w:rsid w:val="00D92713"/>
    <w:rsid w:val="00D92EEA"/>
    <w:rsid w:val="00D92F6F"/>
    <w:rsid w:val="00D93BE6"/>
    <w:rsid w:val="00D95D23"/>
    <w:rsid w:val="00D96C1F"/>
    <w:rsid w:val="00D97B8B"/>
    <w:rsid w:val="00DA1A22"/>
    <w:rsid w:val="00DA47C4"/>
    <w:rsid w:val="00DA5B64"/>
    <w:rsid w:val="00DA78F5"/>
    <w:rsid w:val="00DB2898"/>
    <w:rsid w:val="00DB3E3F"/>
    <w:rsid w:val="00DB5421"/>
    <w:rsid w:val="00DB73EF"/>
    <w:rsid w:val="00DB78E3"/>
    <w:rsid w:val="00DC03BF"/>
    <w:rsid w:val="00DC23A2"/>
    <w:rsid w:val="00DC335A"/>
    <w:rsid w:val="00DC40E0"/>
    <w:rsid w:val="00DC4D45"/>
    <w:rsid w:val="00DC606C"/>
    <w:rsid w:val="00DC7425"/>
    <w:rsid w:val="00DC746A"/>
    <w:rsid w:val="00DD06D5"/>
    <w:rsid w:val="00DD0712"/>
    <w:rsid w:val="00DD0801"/>
    <w:rsid w:val="00DD341B"/>
    <w:rsid w:val="00DD371F"/>
    <w:rsid w:val="00DD4695"/>
    <w:rsid w:val="00DD7557"/>
    <w:rsid w:val="00DD7B99"/>
    <w:rsid w:val="00DE0036"/>
    <w:rsid w:val="00DE18E5"/>
    <w:rsid w:val="00DE1E13"/>
    <w:rsid w:val="00DE2D29"/>
    <w:rsid w:val="00DE2E22"/>
    <w:rsid w:val="00DE397F"/>
    <w:rsid w:val="00DE39F8"/>
    <w:rsid w:val="00DF0F39"/>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26B73"/>
    <w:rsid w:val="00E31CD7"/>
    <w:rsid w:val="00E32844"/>
    <w:rsid w:val="00E43401"/>
    <w:rsid w:val="00E445B7"/>
    <w:rsid w:val="00E465E8"/>
    <w:rsid w:val="00E47D57"/>
    <w:rsid w:val="00E5265B"/>
    <w:rsid w:val="00E52E29"/>
    <w:rsid w:val="00E54718"/>
    <w:rsid w:val="00E60688"/>
    <w:rsid w:val="00E6238C"/>
    <w:rsid w:val="00E635AE"/>
    <w:rsid w:val="00E637E3"/>
    <w:rsid w:val="00E63A1F"/>
    <w:rsid w:val="00E64489"/>
    <w:rsid w:val="00E648FB"/>
    <w:rsid w:val="00E67D84"/>
    <w:rsid w:val="00E71FC6"/>
    <w:rsid w:val="00E732FD"/>
    <w:rsid w:val="00E75D57"/>
    <w:rsid w:val="00E778E5"/>
    <w:rsid w:val="00E81569"/>
    <w:rsid w:val="00E82CEA"/>
    <w:rsid w:val="00E83459"/>
    <w:rsid w:val="00E83AB0"/>
    <w:rsid w:val="00E8417A"/>
    <w:rsid w:val="00E849E5"/>
    <w:rsid w:val="00E85002"/>
    <w:rsid w:val="00E85479"/>
    <w:rsid w:val="00E85AEC"/>
    <w:rsid w:val="00E85EDB"/>
    <w:rsid w:val="00E87153"/>
    <w:rsid w:val="00E87448"/>
    <w:rsid w:val="00E92164"/>
    <w:rsid w:val="00E93C48"/>
    <w:rsid w:val="00E96AAD"/>
    <w:rsid w:val="00E96C7F"/>
    <w:rsid w:val="00E97376"/>
    <w:rsid w:val="00E974BB"/>
    <w:rsid w:val="00EA0BAD"/>
    <w:rsid w:val="00EA1CA8"/>
    <w:rsid w:val="00EA1E82"/>
    <w:rsid w:val="00EA21EF"/>
    <w:rsid w:val="00EA226A"/>
    <w:rsid w:val="00EA2A10"/>
    <w:rsid w:val="00EA527E"/>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0BA"/>
    <w:rsid w:val="00EE0442"/>
    <w:rsid w:val="00EE1048"/>
    <w:rsid w:val="00EE16F1"/>
    <w:rsid w:val="00EE2EE0"/>
    <w:rsid w:val="00EE40AC"/>
    <w:rsid w:val="00EE484B"/>
    <w:rsid w:val="00EE527D"/>
    <w:rsid w:val="00EE5587"/>
    <w:rsid w:val="00EF19DB"/>
    <w:rsid w:val="00EF1F92"/>
    <w:rsid w:val="00EF31A3"/>
    <w:rsid w:val="00EF72C3"/>
    <w:rsid w:val="00F0049D"/>
    <w:rsid w:val="00F007E1"/>
    <w:rsid w:val="00F02D86"/>
    <w:rsid w:val="00F031DF"/>
    <w:rsid w:val="00F03FE8"/>
    <w:rsid w:val="00F07611"/>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1C73"/>
    <w:rsid w:val="00F3375F"/>
    <w:rsid w:val="00F347E5"/>
    <w:rsid w:val="00F352A5"/>
    <w:rsid w:val="00F35586"/>
    <w:rsid w:val="00F3597A"/>
    <w:rsid w:val="00F35FCA"/>
    <w:rsid w:val="00F455DE"/>
    <w:rsid w:val="00F46296"/>
    <w:rsid w:val="00F545AF"/>
    <w:rsid w:val="00F57686"/>
    <w:rsid w:val="00F60350"/>
    <w:rsid w:val="00F63061"/>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63C8"/>
    <w:rsid w:val="00F87202"/>
    <w:rsid w:val="00F87D58"/>
    <w:rsid w:val="00F905A4"/>
    <w:rsid w:val="00F906AB"/>
    <w:rsid w:val="00F906C0"/>
    <w:rsid w:val="00F9126F"/>
    <w:rsid w:val="00F916A5"/>
    <w:rsid w:val="00F9258A"/>
    <w:rsid w:val="00F93A25"/>
    <w:rsid w:val="00F96CE2"/>
    <w:rsid w:val="00FA1911"/>
    <w:rsid w:val="00FA4D07"/>
    <w:rsid w:val="00FA6602"/>
    <w:rsid w:val="00FA71F2"/>
    <w:rsid w:val="00FB0594"/>
    <w:rsid w:val="00FB0B39"/>
    <w:rsid w:val="00FB11EE"/>
    <w:rsid w:val="00FB1AA6"/>
    <w:rsid w:val="00FB298B"/>
    <w:rsid w:val="00FB37BC"/>
    <w:rsid w:val="00FB5698"/>
    <w:rsid w:val="00FB685D"/>
    <w:rsid w:val="00FB6AD8"/>
    <w:rsid w:val="00FB784A"/>
    <w:rsid w:val="00FC0474"/>
    <w:rsid w:val="00FC0884"/>
    <w:rsid w:val="00FC099E"/>
    <w:rsid w:val="00FC0DFB"/>
    <w:rsid w:val="00FC18A5"/>
    <w:rsid w:val="00FC19E6"/>
    <w:rsid w:val="00FC207A"/>
    <w:rsid w:val="00FC307C"/>
    <w:rsid w:val="00FC3CA7"/>
    <w:rsid w:val="00FC493A"/>
    <w:rsid w:val="00FC5846"/>
    <w:rsid w:val="00FD2D26"/>
    <w:rsid w:val="00FD36F0"/>
    <w:rsid w:val="00FD774A"/>
    <w:rsid w:val="00FD7B38"/>
    <w:rsid w:val="00FE0BF6"/>
    <w:rsid w:val="00FE4807"/>
    <w:rsid w:val="00FE48A8"/>
    <w:rsid w:val="00FE5E4D"/>
    <w:rsid w:val="00FE663C"/>
    <w:rsid w:val="00FE666E"/>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091465489">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00307822">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tsu.edu/consumer"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hyperlink" Target="http://www.conference-board.org" TargetMode="External"/><Relationship Id="rId10" Type="http://schemas.openxmlformats.org/officeDocument/2006/relationships/hyperlink" Target="mailto:Tim.Graeff@mtsu.ed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ference-board.org" TargetMode="External"/><Relationship Id="rId2" Type="http://schemas.openxmlformats.org/officeDocument/2006/relationships/hyperlink" Target="http://www.nrf.com" TargetMode="External"/><Relationship Id="rId1" Type="http://schemas.openxmlformats.org/officeDocument/2006/relationships/hyperlink" Target="http://www.consumerfe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Se12</c:v>
                </c:pt>
                <c:pt idx="1">
                  <c:v>No12</c:v>
                </c:pt>
                <c:pt idx="2">
                  <c:v>Fe13</c:v>
                </c:pt>
                <c:pt idx="3">
                  <c:v>Ap13</c:v>
                </c:pt>
                <c:pt idx="4">
                  <c:v>Se13</c:v>
                </c:pt>
                <c:pt idx="5">
                  <c:v>De13</c:v>
                </c:pt>
                <c:pt idx="6">
                  <c:v>Fe14</c:v>
                </c:pt>
                <c:pt idx="7">
                  <c:v>Ma14</c:v>
                </c:pt>
                <c:pt idx="8">
                  <c:v>Se14</c:v>
                </c:pt>
                <c:pt idx="9">
                  <c:v>De14</c:v>
                </c:pt>
              </c:strCache>
            </c:strRef>
          </c:cat>
          <c:val>
            <c:numRef>
              <c:f>Sheet1!$B$2:$K$2</c:f>
              <c:numCache>
                <c:formatCode>General</c:formatCode>
                <c:ptCount val="10"/>
                <c:pt idx="0">
                  <c:v>178</c:v>
                </c:pt>
                <c:pt idx="1">
                  <c:v>106</c:v>
                </c:pt>
                <c:pt idx="2">
                  <c:v>144</c:v>
                </c:pt>
                <c:pt idx="3">
                  <c:v>193</c:v>
                </c:pt>
                <c:pt idx="4">
                  <c:v>199</c:v>
                </c:pt>
                <c:pt idx="5">
                  <c:v>122</c:v>
                </c:pt>
                <c:pt idx="6">
                  <c:v>179</c:v>
                </c:pt>
                <c:pt idx="7">
                  <c:v>203</c:v>
                </c:pt>
                <c:pt idx="8">
                  <c:v>226</c:v>
                </c:pt>
                <c:pt idx="9">
                  <c:v>329</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Se12</c:v>
                </c:pt>
                <c:pt idx="1">
                  <c:v>No12</c:v>
                </c:pt>
                <c:pt idx="2">
                  <c:v>Fe13</c:v>
                </c:pt>
                <c:pt idx="3">
                  <c:v>Ap13</c:v>
                </c:pt>
                <c:pt idx="4">
                  <c:v>Se13</c:v>
                </c:pt>
                <c:pt idx="5">
                  <c:v>De13</c:v>
                </c:pt>
                <c:pt idx="6">
                  <c:v>Fe14</c:v>
                </c:pt>
                <c:pt idx="7">
                  <c:v>Ma14</c:v>
                </c:pt>
                <c:pt idx="8">
                  <c:v>Se14</c:v>
                </c:pt>
                <c:pt idx="9">
                  <c:v>De14</c:v>
                </c:pt>
              </c:strCache>
            </c:strRef>
          </c:cat>
          <c:val>
            <c:numRef>
              <c:f>Sheet1!$B$3:$K$3</c:f>
              <c:numCache>
                <c:formatCode>General</c:formatCode>
                <c:ptCount val="10"/>
                <c:pt idx="0">
                  <c:v>-26</c:v>
                </c:pt>
                <c:pt idx="1">
                  <c:v>-22</c:v>
                </c:pt>
                <c:pt idx="2">
                  <c:v>-16</c:v>
                </c:pt>
                <c:pt idx="3">
                  <c:v>1</c:v>
                </c:pt>
                <c:pt idx="4">
                  <c:v>18</c:v>
                </c:pt>
                <c:pt idx="5">
                  <c:v>3</c:v>
                </c:pt>
                <c:pt idx="6">
                  <c:v>23</c:v>
                </c:pt>
                <c:pt idx="7">
                  <c:v>38</c:v>
                </c:pt>
                <c:pt idx="8">
                  <c:v>48</c:v>
                </c:pt>
                <c:pt idx="9">
                  <c:v>77</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Se12</c:v>
                </c:pt>
                <c:pt idx="1">
                  <c:v>No12</c:v>
                </c:pt>
                <c:pt idx="2">
                  <c:v>Fe13</c:v>
                </c:pt>
                <c:pt idx="3">
                  <c:v>Ap13</c:v>
                </c:pt>
                <c:pt idx="4">
                  <c:v>Se13</c:v>
                </c:pt>
                <c:pt idx="5">
                  <c:v>De13</c:v>
                </c:pt>
                <c:pt idx="6">
                  <c:v>Fe14</c:v>
                </c:pt>
                <c:pt idx="7">
                  <c:v>Ma14</c:v>
                </c:pt>
                <c:pt idx="8">
                  <c:v>Se14</c:v>
                </c:pt>
                <c:pt idx="9">
                  <c:v>De14</c:v>
                </c:pt>
              </c:strCache>
            </c:strRef>
          </c:cat>
          <c:val>
            <c:numRef>
              <c:f>Sheet1!$B$4:$K$4</c:f>
              <c:numCache>
                <c:formatCode>General</c:formatCode>
                <c:ptCount val="10"/>
                <c:pt idx="0">
                  <c:v>112</c:v>
                </c:pt>
                <c:pt idx="1">
                  <c:v>55</c:v>
                </c:pt>
                <c:pt idx="2">
                  <c:v>78</c:v>
                </c:pt>
                <c:pt idx="3">
                  <c:v>97</c:v>
                </c:pt>
                <c:pt idx="4">
                  <c:v>86</c:v>
                </c:pt>
                <c:pt idx="5">
                  <c:v>49</c:v>
                </c:pt>
                <c:pt idx="6">
                  <c:v>85</c:v>
                </c:pt>
                <c:pt idx="7">
                  <c:v>86</c:v>
                </c:pt>
                <c:pt idx="8">
                  <c:v>80</c:v>
                </c:pt>
                <c:pt idx="9">
                  <c:v>130</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Se12</c:v>
                </c:pt>
                <c:pt idx="1">
                  <c:v>No12</c:v>
                </c:pt>
                <c:pt idx="2">
                  <c:v>Fe13</c:v>
                </c:pt>
                <c:pt idx="3">
                  <c:v>Ap13</c:v>
                </c:pt>
                <c:pt idx="4">
                  <c:v>Se13</c:v>
                </c:pt>
                <c:pt idx="5">
                  <c:v>De13</c:v>
                </c:pt>
                <c:pt idx="6">
                  <c:v>Fe14</c:v>
                </c:pt>
                <c:pt idx="7">
                  <c:v>Ma14</c:v>
                </c:pt>
                <c:pt idx="8">
                  <c:v>Se14</c:v>
                </c:pt>
                <c:pt idx="9">
                  <c:v>De14</c:v>
                </c:pt>
              </c:strCache>
            </c:strRef>
          </c:cat>
          <c:val>
            <c:numRef>
              <c:f>Sheet1!$B$5:$K$5</c:f>
              <c:numCache>
                <c:formatCode>General</c:formatCode>
                <c:ptCount val="10"/>
                <c:pt idx="0">
                  <c:v>92</c:v>
                </c:pt>
                <c:pt idx="1">
                  <c:v>73</c:v>
                </c:pt>
                <c:pt idx="2">
                  <c:v>82</c:v>
                </c:pt>
                <c:pt idx="3">
                  <c:v>95</c:v>
                </c:pt>
                <c:pt idx="4">
                  <c:v>95</c:v>
                </c:pt>
                <c:pt idx="5">
                  <c:v>70</c:v>
                </c:pt>
                <c:pt idx="6">
                  <c:v>71</c:v>
                </c:pt>
                <c:pt idx="7">
                  <c:v>79</c:v>
                </c:pt>
                <c:pt idx="8">
                  <c:v>98</c:v>
                </c:pt>
                <c:pt idx="9">
                  <c:v>122</c:v>
                </c:pt>
              </c:numCache>
            </c:numRef>
          </c:val>
          <c:smooth val="0"/>
        </c:ser>
        <c:dLbls>
          <c:showLegendKey val="0"/>
          <c:showVal val="0"/>
          <c:showCatName val="0"/>
          <c:showSerName val="0"/>
          <c:showPercent val="0"/>
          <c:showBubbleSize val="0"/>
        </c:dLbls>
        <c:marker val="1"/>
        <c:smooth val="0"/>
        <c:axId val="101456128"/>
        <c:axId val="101474688"/>
      </c:lineChart>
      <c:catAx>
        <c:axId val="101456128"/>
        <c:scaling>
          <c:orientation val="minMax"/>
        </c:scaling>
        <c:delete val="0"/>
        <c:axPos val="b"/>
        <c:numFmt formatCode="General" sourceLinked="1"/>
        <c:majorTickMark val="out"/>
        <c:minorTickMark val="none"/>
        <c:tickLblPos val="nextTo"/>
        <c:txPr>
          <a:bodyPr/>
          <a:lstStyle/>
          <a:p>
            <a:pPr>
              <a:defRPr sz="900" b="1">
                <a:latin typeface="Arial" pitchFamily="34" charset="0"/>
                <a:cs typeface="Arial" pitchFamily="34" charset="0"/>
              </a:defRPr>
            </a:pPr>
            <a:endParaRPr lang="en-US"/>
          </a:p>
        </c:txPr>
        <c:crossAx val="101474688"/>
        <c:crosses val="autoZero"/>
        <c:auto val="1"/>
        <c:lblAlgn val="ctr"/>
        <c:lblOffset val="100"/>
        <c:noMultiLvlLbl val="0"/>
      </c:catAx>
      <c:valAx>
        <c:axId val="101474688"/>
        <c:scaling>
          <c:orientation val="minMax"/>
          <c:max val="35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01456128"/>
        <c:crosses val="autoZero"/>
        <c:crossBetween val="between"/>
      </c:valAx>
      <c:spPr>
        <a:ln>
          <a:noFill/>
        </a:ln>
      </c:spPr>
    </c:plotArea>
    <c:legend>
      <c:legendPos val="t"/>
      <c:overlay val="0"/>
      <c:txPr>
        <a:bodyPr/>
        <a:lstStyle/>
        <a:p>
          <a:pPr>
            <a:defRPr sz="12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Dec'13</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0.26</c:v>
                </c:pt>
                <c:pt idx="1">
                  <c:v>0.46</c:v>
                </c:pt>
                <c:pt idx="2">
                  <c:v>0.28000000000000003</c:v>
                </c:pt>
              </c:numCache>
            </c:numRef>
          </c:val>
        </c:ser>
        <c:ser>
          <c:idx val="1"/>
          <c:order val="1"/>
          <c:tx>
            <c:strRef>
              <c:f>Sheet1!$C$1</c:f>
              <c:strCache>
                <c:ptCount val="1"/>
                <c:pt idx="0">
                  <c:v>Feb'14</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0.3</c:v>
                </c:pt>
                <c:pt idx="1">
                  <c:v>0.41</c:v>
                </c:pt>
                <c:pt idx="2">
                  <c:v>0.3</c:v>
                </c:pt>
              </c:numCache>
            </c:numRef>
          </c:val>
        </c:ser>
        <c:ser>
          <c:idx val="2"/>
          <c:order val="2"/>
          <c:tx>
            <c:strRef>
              <c:f>Sheet1!$D$1</c:f>
              <c:strCache>
                <c:ptCount val="1"/>
                <c:pt idx="0">
                  <c:v>May'14</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0.23</c:v>
                </c:pt>
                <c:pt idx="1">
                  <c:v>0.43</c:v>
                </c:pt>
                <c:pt idx="2">
                  <c:v>0.34</c:v>
                </c:pt>
              </c:numCache>
            </c:numRef>
          </c:val>
        </c:ser>
        <c:ser>
          <c:idx val="3"/>
          <c:order val="3"/>
          <c:tx>
            <c:strRef>
              <c:f>Sheet1!$E$1</c:f>
              <c:strCache>
                <c:ptCount val="1"/>
                <c:pt idx="0">
                  <c:v>Sept'14</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c:v>
                </c:pt>
                <c:pt idx="1">
                  <c:v>0.46</c:v>
                </c:pt>
                <c:pt idx="2">
                  <c:v>0.34</c:v>
                </c:pt>
              </c:numCache>
            </c:numRef>
          </c:val>
        </c:ser>
        <c:ser>
          <c:idx val="4"/>
          <c:order val="4"/>
          <c:tx>
            <c:strRef>
              <c:f>Sheet1!$F$1</c:f>
              <c:strCache>
                <c:ptCount val="1"/>
                <c:pt idx="0">
                  <c:v>Dec'14</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0.17</c:v>
                </c:pt>
                <c:pt idx="1">
                  <c:v>0.4</c:v>
                </c:pt>
                <c:pt idx="2">
                  <c:v>0.43</c:v>
                </c:pt>
              </c:numCache>
            </c:numRef>
          </c:val>
        </c:ser>
        <c:dLbls>
          <c:showLegendKey val="0"/>
          <c:showVal val="1"/>
          <c:showCatName val="0"/>
          <c:showSerName val="0"/>
          <c:showPercent val="0"/>
          <c:showBubbleSize val="0"/>
        </c:dLbls>
        <c:gapWidth val="150"/>
        <c:axId val="101496320"/>
        <c:axId val="101497856"/>
      </c:barChart>
      <c:catAx>
        <c:axId val="101496320"/>
        <c:scaling>
          <c:orientation val="minMax"/>
        </c:scaling>
        <c:delete val="0"/>
        <c:axPos val="b"/>
        <c:numFmt formatCode="General" sourceLinked="1"/>
        <c:majorTickMark val="out"/>
        <c:minorTickMark val="none"/>
        <c:tickLblPos val="nextTo"/>
        <c:txPr>
          <a:bodyPr/>
          <a:lstStyle/>
          <a:p>
            <a:pPr>
              <a:defRPr b="0"/>
            </a:pPr>
            <a:endParaRPr lang="en-US"/>
          </a:p>
        </c:txPr>
        <c:crossAx val="101497856"/>
        <c:crosses val="autoZero"/>
        <c:auto val="1"/>
        <c:lblAlgn val="ctr"/>
        <c:lblOffset val="100"/>
        <c:noMultiLvlLbl val="0"/>
      </c:catAx>
      <c:valAx>
        <c:axId val="101497856"/>
        <c:scaling>
          <c:orientation val="minMax"/>
        </c:scaling>
        <c:delete val="0"/>
        <c:axPos val="l"/>
        <c:numFmt formatCode="0%" sourceLinked="1"/>
        <c:majorTickMark val="out"/>
        <c:minorTickMark val="none"/>
        <c:tickLblPos val="nextTo"/>
        <c:txPr>
          <a:bodyPr/>
          <a:lstStyle/>
          <a:p>
            <a:pPr>
              <a:defRPr b="0"/>
            </a:pPr>
            <a:endParaRPr lang="en-US"/>
          </a:p>
        </c:txPr>
        <c:crossAx val="101496320"/>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Do</a:t>
            </a:r>
            <a:r>
              <a:rPr lang="en-US" sz="1200" baseline="0"/>
              <a:t> you think that you will spend more money on Christmas and Holiday gifts this year compared to last year, less money than you spent last year, or about the same?</a:t>
            </a:r>
            <a:endParaRPr lang="en-US" sz="1200"/>
          </a:p>
        </c:rich>
      </c:tx>
      <c:overlay val="0"/>
    </c:title>
    <c:autoTitleDeleted val="0"/>
    <c:plotArea>
      <c:layout/>
      <c:barChart>
        <c:barDir val="col"/>
        <c:grouping val="clustered"/>
        <c:varyColors val="0"/>
        <c:ser>
          <c:idx val="0"/>
          <c:order val="0"/>
          <c:tx>
            <c:strRef>
              <c:f>Sheet1!$B$1</c:f>
              <c:strCache>
                <c:ptCount val="1"/>
                <c:pt idx="0">
                  <c:v>2010</c:v>
                </c:pt>
              </c:strCache>
            </c:strRef>
          </c:tx>
          <c:spPr>
            <a:solidFill>
              <a:srgbClr val="00B050"/>
            </a:solidFill>
            <a:ln>
              <a:solidFill>
                <a:schemeClr val="accent1"/>
              </a:solidFill>
            </a:ln>
          </c:spPr>
          <c:invertIfNegative val="0"/>
          <c:cat>
            <c:strRef>
              <c:f>Sheet1!$A$2:$A$4</c:f>
              <c:strCache>
                <c:ptCount val="3"/>
                <c:pt idx="0">
                  <c:v>Less</c:v>
                </c:pt>
                <c:pt idx="1">
                  <c:v>About the same</c:v>
                </c:pt>
                <c:pt idx="2">
                  <c:v>More </c:v>
                </c:pt>
              </c:strCache>
            </c:strRef>
          </c:cat>
          <c:val>
            <c:numRef>
              <c:f>Sheet1!$B$2:$B$4</c:f>
              <c:numCache>
                <c:formatCode>0%</c:formatCode>
                <c:ptCount val="3"/>
                <c:pt idx="0">
                  <c:v>0.38</c:v>
                </c:pt>
                <c:pt idx="1">
                  <c:v>0.45</c:v>
                </c:pt>
                <c:pt idx="2">
                  <c:v>0.14000000000000001</c:v>
                </c:pt>
              </c:numCache>
            </c:numRef>
          </c:val>
        </c:ser>
        <c:ser>
          <c:idx val="1"/>
          <c:order val="1"/>
          <c:tx>
            <c:strRef>
              <c:f>Sheet1!$C$1</c:f>
              <c:strCache>
                <c:ptCount val="1"/>
                <c:pt idx="0">
                  <c:v>2011</c:v>
                </c:pt>
              </c:strCache>
            </c:strRef>
          </c:tx>
          <c:spPr>
            <a:solidFill>
              <a:schemeClr val="bg1">
                <a:lumMod val="65000"/>
              </a:schemeClr>
            </a:solidFill>
          </c:spPr>
          <c:invertIfNegative val="0"/>
          <c:cat>
            <c:strRef>
              <c:f>Sheet1!$A$2:$A$4</c:f>
              <c:strCache>
                <c:ptCount val="3"/>
                <c:pt idx="0">
                  <c:v>Less</c:v>
                </c:pt>
                <c:pt idx="1">
                  <c:v>About the same</c:v>
                </c:pt>
                <c:pt idx="2">
                  <c:v>More </c:v>
                </c:pt>
              </c:strCache>
            </c:strRef>
          </c:cat>
          <c:val>
            <c:numRef>
              <c:f>Sheet1!$C$2:$C$4</c:f>
              <c:numCache>
                <c:formatCode>0%</c:formatCode>
                <c:ptCount val="3"/>
                <c:pt idx="0">
                  <c:v>0.34</c:v>
                </c:pt>
                <c:pt idx="1">
                  <c:v>0.46</c:v>
                </c:pt>
                <c:pt idx="2">
                  <c:v>0.18</c:v>
                </c:pt>
              </c:numCache>
            </c:numRef>
          </c:val>
        </c:ser>
        <c:ser>
          <c:idx val="2"/>
          <c:order val="2"/>
          <c:tx>
            <c:strRef>
              <c:f>Sheet1!$D$1</c:f>
              <c:strCache>
                <c:ptCount val="1"/>
                <c:pt idx="0">
                  <c:v>2012</c:v>
                </c:pt>
              </c:strCache>
            </c:strRef>
          </c:tx>
          <c:spPr>
            <a:solidFill>
              <a:schemeClr val="accent1"/>
            </a:solidFill>
          </c:spPr>
          <c:invertIfNegative val="0"/>
          <c:cat>
            <c:strRef>
              <c:f>Sheet1!$A$2:$A$4</c:f>
              <c:strCache>
                <c:ptCount val="3"/>
                <c:pt idx="0">
                  <c:v>Less</c:v>
                </c:pt>
                <c:pt idx="1">
                  <c:v>About the same</c:v>
                </c:pt>
                <c:pt idx="2">
                  <c:v>More </c:v>
                </c:pt>
              </c:strCache>
            </c:strRef>
          </c:cat>
          <c:val>
            <c:numRef>
              <c:f>Sheet1!$D$2:$D$4</c:f>
              <c:numCache>
                <c:formatCode>0%</c:formatCode>
                <c:ptCount val="3"/>
                <c:pt idx="0">
                  <c:v>0.33</c:v>
                </c:pt>
                <c:pt idx="1">
                  <c:v>0.55000000000000004</c:v>
                </c:pt>
                <c:pt idx="2">
                  <c:v>0.11</c:v>
                </c:pt>
              </c:numCache>
            </c:numRef>
          </c:val>
        </c:ser>
        <c:ser>
          <c:idx val="3"/>
          <c:order val="3"/>
          <c:tx>
            <c:strRef>
              <c:f>Sheet1!$E$1</c:f>
              <c:strCache>
                <c:ptCount val="1"/>
                <c:pt idx="0">
                  <c:v>2013</c:v>
                </c:pt>
              </c:strCache>
            </c:strRef>
          </c:tx>
          <c:spPr>
            <a:solidFill>
              <a:srgbClr val="C00000"/>
            </a:solidFill>
          </c:spPr>
          <c:invertIfNegative val="0"/>
          <c:cat>
            <c:strRef>
              <c:f>Sheet1!$A$2:$A$4</c:f>
              <c:strCache>
                <c:ptCount val="3"/>
                <c:pt idx="0">
                  <c:v>Less</c:v>
                </c:pt>
                <c:pt idx="1">
                  <c:v>About the same</c:v>
                </c:pt>
                <c:pt idx="2">
                  <c:v>More </c:v>
                </c:pt>
              </c:strCache>
            </c:strRef>
          </c:cat>
          <c:val>
            <c:numRef>
              <c:f>Sheet1!$E$2:$E$4</c:f>
              <c:numCache>
                <c:formatCode>0%</c:formatCode>
                <c:ptCount val="3"/>
                <c:pt idx="0">
                  <c:v>0.38</c:v>
                </c:pt>
                <c:pt idx="1">
                  <c:v>0.46</c:v>
                </c:pt>
                <c:pt idx="2">
                  <c:v>0.15</c:v>
                </c:pt>
              </c:numCache>
            </c:numRef>
          </c:val>
        </c:ser>
        <c:ser>
          <c:idx val="4"/>
          <c:order val="4"/>
          <c:tx>
            <c:strRef>
              <c:f>Sheet1!$F$1</c:f>
              <c:strCache>
                <c:ptCount val="1"/>
                <c:pt idx="0">
                  <c:v>2014</c:v>
                </c:pt>
              </c:strCache>
            </c:strRef>
          </c:tx>
          <c:invertIfNegative val="0"/>
          <c:cat>
            <c:strRef>
              <c:f>Sheet1!$A$2:$A$4</c:f>
              <c:strCache>
                <c:ptCount val="3"/>
                <c:pt idx="0">
                  <c:v>Less</c:v>
                </c:pt>
                <c:pt idx="1">
                  <c:v>About the same</c:v>
                </c:pt>
                <c:pt idx="2">
                  <c:v>More </c:v>
                </c:pt>
              </c:strCache>
            </c:strRef>
          </c:cat>
          <c:val>
            <c:numRef>
              <c:f>Sheet1!$F$2:$F$4</c:f>
              <c:numCache>
                <c:formatCode>0%</c:formatCode>
                <c:ptCount val="3"/>
                <c:pt idx="0">
                  <c:v>0.32</c:v>
                </c:pt>
                <c:pt idx="1">
                  <c:v>0.45</c:v>
                </c:pt>
                <c:pt idx="2">
                  <c:v>0.21</c:v>
                </c:pt>
              </c:numCache>
            </c:numRef>
          </c:val>
        </c:ser>
        <c:dLbls>
          <c:showLegendKey val="0"/>
          <c:showVal val="1"/>
          <c:showCatName val="0"/>
          <c:showSerName val="0"/>
          <c:showPercent val="0"/>
          <c:showBubbleSize val="0"/>
        </c:dLbls>
        <c:gapWidth val="150"/>
        <c:axId val="64845312"/>
        <c:axId val="64846848"/>
      </c:barChart>
      <c:catAx>
        <c:axId val="64845312"/>
        <c:scaling>
          <c:orientation val="minMax"/>
        </c:scaling>
        <c:delete val="0"/>
        <c:axPos val="b"/>
        <c:majorTickMark val="out"/>
        <c:minorTickMark val="none"/>
        <c:tickLblPos val="nextTo"/>
        <c:crossAx val="64846848"/>
        <c:crosses val="autoZero"/>
        <c:auto val="1"/>
        <c:lblAlgn val="ctr"/>
        <c:lblOffset val="100"/>
        <c:noMultiLvlLbl val="0"/>
      </c:catAx>
      <c:valAx>
        <c:axId val="64846848"/>
        <c:scaling>
          <c:orientation val="minMax"/>
        </c:scaling>
        <c:delete val="0"/>
        <c:axPos val="l"/>
        <c:numFmt formatCode="0%" sourceLinked="1"/>
        <c:majorTickMark val="out"/>
        <c:minorTickMark val="none"/>
        <c:tickLblPos val="nextTo"/>
        <c:crossAx val="64845312"/>
        <c:crosses val="autoZero"/>
        <c:crossBetween val="between"/>
      </c:valAx>
    </c:plotArea>
    <c:legend>
      <c:legendPos val="t"/>
      <c:overlay val="0"/>
      <c:txPr>
        <a:bodyPr/>
        <a:lstStyle/>
        <a:p>
          <a:pPr>
            <a:defRPr sz="140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en-US" sz="1400" b="0"/>
              <a:t>How</a:t>
            </a:r>
            <a:r>
              <a:rPr lang="en-US" sz="1400" b="0" baseline="0"/>
              <a:t> much do you expect to spend on Christmas and Holiday gifts this year?</a:t>
            </a:r>
            <a:endParaRPr lang="en-US" sz="1400" b="0"/>
          </a:p>
        </c:rich>
      </c:tx>
      <c:overlay val="0"/>
    </c:title>
    <c:autoTitleDeleted val="0"/>
    <c:plotArea>
      <c:layout/>
      <c:barChart>
        <c:barDir val="bar"/>
        <c:grouping val="clustered"/>
        <c:varyColors val="0"/>
        <c:ser>
          <c:idx val="0"/>
          <c:order val="0"/>
          <c:tx>
            <c:strRef>
              <c:f>Sheet1!$B$1</c:f>
              <c:strCache>
                <c:ptCount val="1"/>
                <c:pt idx="0">
                  <c:v>2012</c:v>
                </c:pt>
              </c:strCache>
            </c:strRef>
          </c:tx>
          <c:spPr>
            <a:solidFill>
              <a:srgbClr val="00B050"/>
            </a:solidFill>
            <a:ln w="3175">
              <a:solidFill>
                <a:srgbClr val="4F81BD"/>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Sheet1!$B$2:$B$8</c:f>
              <c:numCache>
                <c:formatCode>0%</c:formatCode>
                <c:ptCount val="7"/>
                <c:pt idx="0">
                  <c:v>0.24</c:v>
                </c:pt>
                <c:pt idx="1">
                  <c:v>7.0000000000000007E-2</c:v>
                </c:pt>
                <c:pt idx="2">
                  <c:v>7.0000000000000007E-2</c:v>
                </c:pt>
                <c:pt idx="3">
                  <c:v>0.11</c:v>
                </c:pt>
                <c:pt idx="4">
                  <c:v>0.21</c:v>
                </c:pt>
                <c:pt idx="5">
                  <c:v>0.14000000000000001</c:v>
                </c:pt>
                <c:pt idx="6">
                  <c:v>7.0000000000000007E-2</c:v>
                </c:pt>
              </c:numCache>
            </c:numRef>
          </c:val>
        </c:ser>
        <c:ser>
          <c:idx val="1"/>
          <c:order val="1"/>
          <c:tx>
            <c:strRef>
              <c:f>Sheet1!$C$1</c:f>
              <c:strCache>
                <c:ptCount val="1"/>
                <c:pt idx="0">
                  <c:v>2013</c:v>
                </c:pt>
              </c:strCache>
            </c:strRef>
          </c:tx>
          <c:spPr>
            <a:solidFill>
              <a:sysClr val="window" lastClr="FFFFFF">
                <a:lumMod val="95000"/>
              </a:sysClr>
            </a:solidFill>
            <a:ln>
              <a:solidFill>
                <a:sysClr val="windowText" lastClr="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Sheet1!$C$2:$C$8</c:f>
              <c:numCache>
                <c:formatCode>0%</c:formatCode>
                <c:ptCount val="7"/>
                <c:pt idx="0">
                  <c:v>0.19</c:v>
                </c:pt>
                <c:pt idx="1">
                  <c:v>7.0000000000000007E-2</c:v>
                </c:pt>
                <c:pt idx="2">
                  <c:v>7.0000000000000007E-2</c:v>
                </c:pt>
                <c:pt idx="3">
                  <c:v>0.16</c:v>
                </c:pt>
                <c:pt idx="4">
                  <c:v>0.15</c:v>
                </c:pt>
                <c:pt idx="5">
                  <c:v>0.19</c:v>
                </c:pt>
                <c:pt idx="6">
                  <c:v>0.09</c:v>
                </c:pt>
              </c:numCache>
            </c:numRef>
          </c:val>
        </c:ser>
        <c:ser>
          <c:idx val="2"/>
          <c:order val="2"/>
          <c:tx>
            <c:strRef>
              <c:f>Sheet1!$D$1</c:f>
              <c:strCache>
                <c:ptCount val="1"/>
                <c:pt idx="0">
                  <c:v>2014</c:v>
                </c:pt>
              </c:strCache>
            </c:strRef>
          </c:tx>
          <c:spPr>
            <a:solidFill>
              <a:srgbClr val="C00000"/>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Sheet1!$A$2:$A$8</c:f>
              <c:strCache>
                <c:ptCount val="7"/>
                <c:pt idx="0">
                  <c:v>More than $1,000</c:v>
                </c:pt>
                <c:pt idx="1">
                  <c:v>$901 - $1,000</c:v>
                </c:pt>
                <c:pt idx="2">
                  <c:v>$701 - $900</c:v>
                </c:pt>
                <c:pt idx="3">
                  <c:v>$501 - $700</c:v>
                </c:pt>
                <c:pt idx="4">
                  <c:v>$301 - $500</c:v>
                </c:pt>
                <c:pt idx="5">
                  <c:v>$100 - $300</c:v>
                </c:pt>
                <c:pt idx="6">
                  <c:v>Less than $100</c:v>
                </c:pt>
              </c:strCache>
            </c:strRef>
          </c:cat>
          <c:val>
            <c:numRef>
              <c:f>Sheet1!$D$2:$D$8</c:f>
              <c:numCache>
                <c:formatCode>0%</c:formatCode>
                <c:ptCount val="7"/>
                <c:pt idx="0">
                  <c:v>0.23</c:v>
                </c:pt>
                <c:pt idx="1">
                  <c:v>0.06</c:v>
                </c:pt>
                <c:pt idx="2">
                  <c:v>0.06</c:v>
                </c:pt>
                <c:pt idx="3">
                  <c:v>0.11</c:v>
                </c:pt>
                <c:pt idx="4">
                  <c:v>0.18</c:v>
                </c:pt>
                <c:pt idx="5">
                  <c:v>0.18</c:v>
                </c:pt>
                <c:pt idx="6">
                  <c:v>0.12</c:v>
                </c:pt>
              </c:numCache>
            </c:numRef>
          </c:val>
        </c:ser>
        <c:dLbls>
          <c:showLegendKey val="0"/>
          <c:showVal val="1"/>
          <c:showCatName val="0"/>
          <c:showSerName val="0"/>
          <c:showPercent val="0"/>
          <c:showBubbleSize val="0"/>
        </c:dLbls>
        <c:gapWidth val="150"/>
        <c:axId val="110397312"/>
        <c:axId val="110398848"/>
      </c:barChart>
      <c:catAx>
        <c:axId val="110397312"/>
        <c:scaling>
          <c:orientation val="minMax"/>
        </c:scaling>
        <c:delete val="0"/>
        <c:axPos val="l"/>
        <c:numFmt formatCode="General" sourceLinked="1"/>
        <c:majorTickMark val="out"/>
        <c:minorTickMark val="none"/>
        <c:tickLblPos val="nextTo"/>
        <c:txPr>
          <a:bodyPr/>
          <a:lstStyle/>
          <a:p>
            <a:pPr>
              <a:defRPr sz="1200"/>
            </a:pPr>
            <a:endParaRPr lang="en-US"/>
          </a:p>
        </c:txPr>
        <c:crossAx val="110398848"/>
        <c:crosses val="autoZero"/>
        <c:auto val="1"/>
        <c:lblAlgn val="ctr"/>
        <c:lblOffset val="100"/>
        <c:noMultiLvlLbl val="0"/>
      </c:catAx>
      <c:valAx>
        <c:axId val="110398848"/>
        <c:scaling>
          <c:orientation val="minMax"/>
          <c:max val="0.30000000000000032"/>
        </c:scaling>
        <c:delete val="0"/>
        <c:axPos val="b"/>
        <c:title>
          <c:tx>
            <c:rich>
              <a:bodyPr/>
              <a:lstStyle/>
              <a:p>
                <a:pPr>
                  <a:defRPr sz="1200" b="0" i="0" u="none" strike="noStrike" baseline="0">
                    <a:solidFill>
                      <a:srgbClr val="000000"/>
                    </a:solidFill>
                    <a:latin typeface="Calibri"/>
                    <a:ea typeface="Calibri"/>
                    <a:cs typeface="Calibri"/>
                  </a:defRPr>
                </a:pPr>
                <a:r>
                  <a:rPr lang="en-US"/>
                  <a:t>Percent of Consumers</a:t>
                </a:r>
              </a:p>
            </c:rich>
          </c:tx>
          <c:overlay val="0"/>
        </c:title>
        <c:numFmt formatCode="0%" sourceLinked="1"/>
        <c:majorTickMark val="out"/>
        <c:minorTickMark val="none"/>
        <c:tickLblPos val="nextTo"/>
        <c:txPr>
          <a:bodyPr/>
          <a:lstStyle/>
          <a:p>
            <a:pPr>
              <a:defRPr sz="1200"/>
            </a:pPr>
            <a:endParaRPr lang="en-US"/>
          </a:p>
        </c:txPr>
        <c:crossAx val="110397312"/>
        <c:crosses val="autoZero"/>
        <c:crossBetween val="between"/>
      </c:valAx>
      <c:spPr>
        <a:noFill/>
        <a:ln w="25398">
          <a:noFill/>
        </a:ln>
      </c:spPr>
    </c:plotArea>
    <c:legend>
      <c:legendPos val="r"/>
      <c:layout>
        <c:manualLayout>
          <c:xMode val="edge"/>
          <c:yMode val="edge"/>
          <c:x val="0.81883216011426108"/>
          <c:y val="0.36856232123104338"/>
          <c:w val="0.11518773694954797"/>
          <c:h val="0.29530815523839937"/>
        </c:manualLayout>
      </c:layout>
      <c:overlay val="0"/>
      <c:txPr>
        <a:bodyPr/>
        <a:lstStyle/>
        <a:p>
          <a:pPr>
            <a:defRPr sz="1400"/>
          </a:pPr>
          <a:endParaRPr lang="en-US"/>
        </a:p>
      </c:txPr>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Sheet1!$B$1:$BQ$1</c:f>
              <c:strCache>
                <c:ptCount val="6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strCache>
            </c:strRef>
          </c:cat>
          <c:val>
            <c:numRef>
              <c:f>Sheet1!$B$2:$BQ$2</c:f>
              <c:numCache>
                <c:formatCode>General</c:formatCode>
                <c:ptCount val="68"/>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pt idx="62">
                  <c:v>199</c:v>
                </c:pt>
                <c:pt idx="63">
                  <c:v>122</c:v>
                </c:pt>
                <c:pt idx="64">
                  <c:v>179</c:v>
                </c:pt>
                <c:pt idx="65">
                  <c:v>203</c:v>
                </c:pt>
                <c:pt idx="66">
                  <c:v>226</c:v>
                </c:pt>
                <c:pt idx="67">
                  <c:v>329</c:v>
                </c:pt>
              </c:numCache>
            </c:numRef>
          </c:val>
          <c:smooth val="0"/>
        </c:ser>
        <c:ser>
          <c:idx val="1"/>
          <c:order val="1"/>
          <c:tx>
            <c:strRef>
              <c:f>Sheet1!$A$3</c:f>
              <c:strCache>
                <c:ptCount val="1"/>
                <c:pt idx="0">
                  <c:v>Current Sit. Index</c:v>
                </c:pt>
              </c:strCache>
            </c:strRef>
          </c:tx>
          <c:marker>
            <c:symbol val="square"/>
            <c:size val="7"/>
          </c:marker>
          <c:cat>
            <c:strRef>
              <c:f>Sheet1!$B$1:$BQ$1</c:f>
              <c:strCache>
                <c:ptCount val="6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strCache>
            </c:strRef>
          </c:cat>
          <c:val>
            <c:numRef>
              <c:f>Sheet1!$B$3:$BQ$3</c:f>
              <c:numCache>
                <c:formatCode>General</c:formatCode>
                <c:ptCount val="68"/>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pt idx="62">
                  <c:v>18</c:v>
                </c:pt>
                <c:pt idx="63">
                  <c:v>3</c:v>
                </c:pt>
                <c:pt idx="64">
                  <c:v>23</c:v>
                </c:pt>
                <c:pt idx="65">
                  <c:v>38</c:v>
                </c:pt>
                <c:pt idx="66">
                  <c:v>48</c:v>
                </c:pt>
                <c:pt idx="67">
                  <c:v>77</c:v>
                </c:pt>
              </c:numCache>
            </c:numRef>
          </c:val>
          <c:smooth val="0"/>
        </c:ser>
        <c:ser>
          <c:idx val="2"/>
          <c:order val="2"/>
          <c:tx>
            <c:strRef>
              <c:f>Sheet1!$A$4</c:f>
              <c:strCache>
                <c:ptCount val="1"/>
                <c:pt idx="0">
                  <c:v>Future Exp. Index</c:v>
                </c:pt>
              </c:strCache>
            </c:strRef>
          </c:tx>
          <c:marker>
            <c:spPr>
              <a:solidFill>
                <a:srgbClr val="00B050"/>
              </a:solidFill>
            </c:spPr>
          </c:marker>
          <c:cat>
            <c:strRef>
              <c:f>Sheet1!$B$1:$BQ$1</c:f>
              <c:strCache>
                <c:ptCount val="6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strCache>
            </c:strRef>
          </c:cat>
          <c:val>
            <c:numRef>
              <c:f>Sheet1!$B$4:$BQ$4</c:f>
              <c:numCache>
                <c:formatCode>General</c:formatCode>
                <c:ptCount val="68"/>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pt idx="62">
                  <c:v>86</c:v>
                </c:pt>
                <c:pt idx="63">
                  <c:v>49</c:v>
                </c:pt>
                <c:pt idx="64">
                  <c:v>85</c:v>
                </c:pt>
                <c:pt idx="65">
                  <c:v>86</c:v>
                </c:pt>
                <c:pt idx="66">
                  <c:v>80</c:v>
                </c:pt>
                <c:pt idx="67">
                  <c:v>130</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Sheet1!$B$1:$BQ$1</c:f>
              <c:strCache>
                <c:ptCount val="68"/>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strCache>
            </c:strRef>
          </c:cat>
          <c:val>
            <c:numRef>
              <c:f>Sheet1!$B$5:$BQ$5</c:f>
              <c:numCache>
                <c:formatCode>General</c:formatCode>
                <c:ptCount val="68"/>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pt idx="62">
                  <c:v>95</c:v>
                </c:pt>
                <c:pt idx="63">
                  <c:v>70</c:v>
                </c:pt>
                <c:pt idx="64">
                  <c:v>71</c:v>
                </c:pt>
                <c:pt idx="65">
                  <c:v>79</c:v>
                </c:pt>
                <c:pt idx="66">
                  <c:v>98</c:v>
                </c:pt>
                <c:pt idx="67">
                  <c:v>122</c:v>
                </c:pt>
              </c:numCache>
            </c:numRef>
          </c:val>
          <c:smooth val="0"/>
        </c:ser>
        <c:dLbls>
          <c:showLegendKey val="0"/>
          <c:showVal val="0"/>
          <c:showCatName val="0"/>
          <c:showSerName val="0"/>
          <c:showPercent val="0"/>
          <c:showBubbleSize val="0"/>
        </c:dLbls>
        <c:marker val="1"/>
        <c:smooth val="0"/>
        <c:axId val="110467328"/>
        <c:axId val="110469504"/>
      </c:lineChart>
      <c:catAx>
        <c:axId val="110467328"/>
        <c:scaling>
          <c:orientation val="minMax"/>
        </c:scaling>
        <c:delete val="0"/>
        <c:axPos val="b"/>
        <c:majorTickMark val="out"/>
        <c:minorTickMark val="none"/>
        <c:tickLblPos val="nextTo"/>
        <c:txPr>
          <a:bodyPr/>
          <a:lstStyle/>
          <a:p>
            <a:pPr>
              <a:defRPr sz="800">
                <a:latin typeface="Arial Narrow" panose="020B0606020202030204" pitchFamily="34" charset="0"/>
              </a:defRPr>
            </a:pPr>
            <a:endParaRPr lang="en-US"/>
          </a:p>
        </c:txPr>
        <c:crossAx val="110469504"/>
        <c:crosses val="autoZero"/>
        <c:auto val="1"/>
        <c:lblAlgn val="ctr"/>
        <c:lblOffset val="100"/>
        <c:noMultiLvlLbl val="0"/>
      </c:catAx>
      <c:valAx>
        <c:axId val="110469504"/>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10467328"/>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Jones COB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37116-763D-44AD-B483-CCC847AD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14245</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13</cp:revision>
  <cp:lastPrinted>2014-12-05T15:11:00Z</cp:lastPrinted>
  <dcterms:created xsi:type="dcterms:W3CDTF">2014-12-05T15:11:00Z</dcterms:created>
  <dcterms:modified xsi:type="dcterms:W3CDTF">2014-12-05T15:24:00Z</dcterms:modified>
</cp:coreProperties>
</file>