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57" w:rsidRDefault="001A3E57" w:rsidP="001A3E57">
      <w:pPr>
        <w:outlineLvl w:val="0"/>
      </w:pPr>
      <w:r>
        <w:rPr>
          <w:b/>
          <w:bCs/>
        </w:rPr>
        <w:t>From:</w:t>
      </w:r>
      <w:r>
        <w:t xml:space="preserve"> Benefits </w:t>
      </w:r>
      <w:r>
        <w:br/>
      </w:r>
      <w:r>
        <w:rPr>
          <w:b/>
          <w:bCs/>
        </w:rPr>
        <w:t>Sent:</w:t>
      </w:r>
      <w:r>
        <w:t xml:space="preserve"> Wednesday, October 11, 2017 9:33 AM</w:t>
      </w:r>
      <w:r>
        <w:br/>
      </w:r>
      <w:r>
        <w:rPr>
          <w:b/>
          <w:bCs/>
        </w:rPr>
        <w:t>Subject:</w:t>
      </w:r>
      <w:r>
        <w:t xml:space="preserve"> DATE SENSITIVE!!!!! Annual Enrollment Reminder</w:t>
      </w:r>
    </w:p>
    <w:p w:rsidR="001A3E57" w:rsidRDefault="001A3E57" w:rsidP="001A3E57"/>
    <w:p w:rsidR="001A3E57" w:rsidRDefault="001A3E57" w:rsidP="001A3E57">
      <w:r>
        <w:rPr>
          <w:color w:val="1F497D"/>
        </w:rPr>
        <w:t>This is a mass e-mail being sent to all regular employees.  Please post for anyone who may not have access to e-mail!</w:t>
      </w:r>
    </w:p>
    <w:p w:rsidR="001A3E57" w:rsidRDefault="001A3E57" w:rsidP="001A3E57"/>
    <w:p w:rsidR="001A3E57" w:rsidRDefault="001A3E57" w:rsidP="001A3E57"/>
    <w:p w:rsidR="001A3E57" w:rsidRDefault="001A3E57" w:rsidP="001A3E57">
      <w:pPr>
        <w:spacing w:line="252" w:lineRule="auto"/>
        <w:ind w:left="73"/>
        <w:jc w:val="center"/>
      </w:pPr>
      <w:r>
        <w:rPr>
          <w:noProof/>
        </w:rPr>
        <w:drawing>
          <wp:inline distT="0" distB="0" distL="0" distR="0">
            <wp:extent cx="1724025" cy="742950"/>
            <wp:effectExtent l="0" t="0" r="9525" b="0"/>
            <wp:docPr id="1" name="Picture 1" descr="cid:image001.png@01D34296.9AF91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4296.9AF918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p w:rsidR="001A3E57" w:rsidRDefault="001A3E57" w:rsidP="001A3E57">
      <w:pPr>
        <w:spacing w:after="347" w:line="252" w:lineRule="auto"/>
      </w:pPr>
      <w:r>
        <w:rPr>
          <w:b/>
          <w:bCs/>
          <w:sz w:val="16"/>
          <w:szCs w:val="16"/>
        </w:rPr>
        <w:t> </w:t>
      </w:r>
    </w:p>
    <w:p w:rsidR="001A3E57" w:rsidRDefault="001A3E57" w:rsidP="001A3E57">
      <w:pPr>
        <w:spacing w:after="50" w:line="252" w:lineRule="auto"/>
        <w:ind w:left="74"/>
        <w:jc w:val="center"/>
      </w:pPr>
      <w:r>
        <w:rPr>
          <w:b/>
          <w:bCs/>
        </w:rPr>
        <w:t xml:space="preserve">              </w:t>
      </w:r>
      <w:r>
        <w:rPr>
          <w:b/>
          <w:bCs/>
          <w:sz w:val="28"/>
          <w:szCs w:val="28"/>
        </w:rPr>
        <w:t> </w:t>
      </w:r>
    </w:p>
    <w:p w:rsidR="001A3E57" w:rsidRDefault="001A3E57" w:rsidP="001A3E57">
      <w:pPr>
        <w:spacing w:after="10" w:line="252" w:lineRule="auto"/>
        <w:ind w:left="531"/>
        <w:jc w:val="center"/>
      </w:pPr>
      <w:r>
        <w:rPr>
          <w:noProof/>
        </w:rPr>
        <w:drawing>
          <wp:anchor distT="0" distB="0" distL="114300" distR="114300" simplePos="0" relativeHeight="251658240" behindDoc="0" locked="0" layoutInCell="1" allowOverlap="0">
            <wp:simplePos x="0" y="0"/>
            <wp:positionH relativeFrom="column">
              <wp:posOffset>337185</wp:posOffset>
            </wp:positionH>
            <wp:positionV relativeFrom="paragraph">
              <wp:posOffset>-97790</wp:posOffset>
            </wp:positionV>
            <wp:extent cx="2225040" cy="31515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315150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 </w:t>
      </w:r>
    </w:p>
    <w:p w:rsidR="001A3E57" w:rsidRDefault="001A3E57" w:rsidP="001A3E57">
      <w:pPr>
        <w:spacing w:line="264" w:lineRule="auto"/>
        <w:ind w:left="531"/>
        <w:jc w:val="center"/>
        <w:rPr>
          <w:b/>
          <w:bCs/>
          <w:color w:val="FF0000"/>
          <w:sz w:val="24"/>
          <w:szCs w:val="24"/>
        </w:rPr>
      </w:pPr>
      <w:r>
        <w:rPr>
          <w:b/>
          <w:bCs/>
          <w:color w:val="FF0000"/>
          <w:sz w:val="24"/>
          <w:szCs w:val="24"/>
        </w:rPr>
        <w:t xml:space="preserve">Your Benefits Annual Enrollment Period Ends at 4:30 p.m. 10/13/17! </w:t>
      </w:r>
    </w:p>
    <w:p w:rsidR="001A3E57" w:rsidRDefault="001A3E57" w:rsidP="001A3E57">
      <w:pPr>
        <w:spacing w:line="264" w:lineRule="auto"/>
        <w:jc w:val="center"/>
        <w:rPr>
          <w:color w:val="FF0000"/>
        </w:rPr>
      </w:pPr>
      <w:r>
        <w:rPr>
          <w:color w:val="FF0000"/>
        </w:rPr>
        <w:t xml:space="preserve">Please visit the HRS dedicated </w:t>
      </w:r>
      <w:hyperlink r:id="rId8" w:history="1">
        <w:r>
          <w:rPr>
            <w:rStyle w:val="Hyperlink"/>
          </w:rPr>
          <w:t>Annual Enrollment</w:t>
        </w:r>
      </w:hyperlink>
      <w:r>
        <w:rPr>
          <w:color w:val="FF0000"/>
        </w:rPr>
        <w:t xml:space="preserve"> web page for information</w:t>
      </w:r>
    </w:p>
    <w:p w:rsidR="001A3E57" w:rsidRDefault="001A3E57" w:rsidP="001A3E57">
      <w:pPr>
        <w:spacing w:after="30" w:line="252" w:lineRule="auto"/>
        <w:ind w:left="531"/>
        <w:jc w:val="center"/>
      </w:pPr>
      <w:r>
        <w:rPr>
          <w:b/>
          <w:bCs/>
        </w:rPr>
        <w:t> </w:t>
      </w:r>
    </w:p>
    <w:p w:rsidR="001A3E57" w:rsidRDefault="001A3E57" w:rsidP="001A3E57">
      <w:pPr>
        <w:spacing w:after="10" w:line="252" w:lineRule="auto"/>
        <w:ind w:left="541" w:right="1153" w:hanging="10"/>
        <w:jc w:val="right"/>
      </w:pPr>
      <w:r>
        <w:rPr>
          <w:b/>
          <w:bCs/>
        </w:rPr>
        <w:t xml:space="preserve">Enroll Oct. 2 - Oct. 13  </w:t>
      </w:r>
    </w:p>
    <w:p w:rsidR="001A3E57" w:rsidRDefault="001A3E57" w:rsidP="001A3E57">
      <w:pPr>
        <w:spacing w:after="10" w:line="252" w:lineRule="auto"/>
        <w:ind w:left="541" w:right="435" w:hanging="10"/>
        <w:jc w:val="right"/>
      </w:pPr>
      <w:r>
        <w:rPr>
          <w:b/>
          <w:bCs/>
        </w:rPr>
        <w:t>(</w:t>
      </w:r>
      <w:proofErr w:type="gramStart"/>
      <w:r>
        <w:rPr>
          <w:b/>
          <w:bCs/>
        </w:rPr>
        <w:t>ends</w:t>
      </w:r>
      <w:proofErr w:type="gramEnd"/>
      <w:r>
        <w:rPr>
          <w:b/>
          <w:bCs/>
        </w:rPr>
        <w:t xml:space="preserve"> Oct. 13 at 4:30 p.m. Central)</w:t>
      </w:r>
      <w:r>
        <w:t xml:space="preserve"> </w:t>
      </w:r>
    </w:p>
    <w:p w:rsidR="001A3E57" w:rsidRDefault="001A3E57" w:rsidP="001A3E57">
      <w:pPr>
        <w:spacing w:after="10" w:line="252" w:lineRule="auto"/>
        <w:ind w:left="531"/>
        <w:jc w:val="center"/>
      </w:pPr>
      <w:r>
        <w:t> </w:t>
      </w:r>
    </w:p>
    <w:p w:rsidR="001A3E57" w:rsidRDefault="001A3E57" w:rsidP="001A3E57">
      <w:pPr>
        <w:spacing w:line="264" w:lineRule="auto"/>
        <w:ind w:left="531"/>
      </w:pPr>
      <w:r>
        <w:t>Even if you don’t make any changes, you should review your enrollment each year. The plans, networks and benefits may change and impact you.</w:t>
      </w:r>
      <w:r>
        <w:rPr>
          <w:b/>
          <w:bCs/>
        </w:rPr>
        <w:t xml:space="preserve"> </w:t>
      </w:r>
    </w:p>
    <w:p w:rsidR="001A3E57" w:rsidRDefault="001A3E57" w:rsidP="001A3E57">
      <w:pPr>
        <w:spacing w:after="9" w:line="252" w:lineRule="auto"/>
        <w:ind w:left="531"/>
        <w:jc w:val="center"/>
      </w:pPr>
      <w:r>
        <w:rPr>
          <w:b/>
          <w:bCs/>
        </w:rPr>
        <w:t> </w:t>
      </w:r>
    </w:p>
    <w:p w:rsidR="001A3E57" w:rsidRDefault="001A3E57" w:rsidP="001A3E57">
      <w:pPr>
        <w:spacing w:line="264" w:lineRule="auto"/>
        <w:ind w:left="531"/>
      </w:pPr>
      <w:r>
        <w:rPr>
          <w:b/>
          <w:bCs/>
        </w:rPr>
        <w:t xml:space="preserve">Click </w:t>
      </w:r>
      <w:hyperlink r:id="rId9" w:history="1">
        <w:r>
          <w:rPr>
            <w:rStyle w:val="Hyperlink"/>
            <w:b/>
            <w:bCs/>
          </w:rPr>
          <w:t>2018 Decision Guide</w:t>
        </w:r>
      </w:hyperlink>
      <w:hyperlink r:id="rId10" w:history="1">
        <w:r>
          <w:rPr>
            <w:rStyle w:val="Hyperlink"/>
            <w:b/>
            <w:bCs/>
            <w:color w:val="000000"/>
            <w:u w:val="none"/>
          </w:rPr>
          <w:t xml:space="preserve"> </w:t>
        </w:r>
      </w:hyperlink>
      <w:r>
        <w:rPr>
          <w:b/>
          <w:bCs/>
        </w:rPr>
        <w:t xml:space="preserve">to review your 2018 Decision Guide. </w:t>
      </w:r>
    </w:p>
    <w:p w:rsidR="001A3E57" w:rsidRDefault="001A3E57" w:rsidP="001A3E57">
      <w:pPr>
        <w:spacing w:after="33" w:line="252" w:lineRule="auto"/>
        <w:ind w:left="531"/>
        <w:jc w:val="center"/>
      </w:pPr>
      <w:r>
        <w:rPr>
          <w:b/>
          <w:bCs/>
        </w:rPr>
        <w:t> </w:t>
      </w:r>
    </w:p>
    <w:p w:rsidR="001A3E57" w:rsidRDefault="001A3E57" w:rsidP="001A3E57">
      <w:pPr>
        <w:spacing w:line="348" w:lineRule="auto"/>
        <w:ind w:firstLine="6"/>
      </w:pPr>
      <w:r>
        <w:rPr>
          <w:b/>
          <w:bCs/>
        </w:rPr>
        <w:t>               Watch</w:t>
      </w:r>
      <w:hyperlink r:id="rId11" w:history="1">
        <w:r>
          <w:rPr>
            <w:rStyle w:val="Hyperlink"/>
            <w:b/>
            <w:bCs/>
            <w:color w:val="000000"/>
            <w:u w:val="none"/>
          </w:rPr>
          <w:t xml:space="preserve"> </w:t>
        </w:r>
      </w:hyperlink>
      <w:hyperlink r:id="rId12" w:history="1">
        <w:r>
          <w:rPr>
            <w:rStyle w:val="Hyperlink"/>
          </w:rPr>
          <w:t>New Animated Educational Videos</w:t>
        </w:r>
      </w:hyperlink>
      <w:r>
        <w:t xml:space="preserve"> </w:t>
      </w:r>
      <w:hyperlink r:id="rId13" w:history="1">
        <w:r>
          <w:rPr>
            <w:rStyle w:val="Hyperlink"/>
            <w:b/>
            <w:bCs/>
          </w:rPr>
          <w:t>!</w:t>
        </w:r>
      </w:hyperlink>
      <w:r>
        <w:rPr>
          <w:b/>
          <w:bCs/>
        </w:rPr>
        <w:t xml:space="preserve"> </w:t>
      </w:r>
    </w:p>
    <w:p w:rsidR="001A3E57" w:rsidRDefault="001A3E57" w:rsidP="001A3E57">
      <w:pPr>
        <w:spacing w:after="126" w:line="252" w:lineRule="auto"/>
      </w:pPr>
      <w:r>
        <w:rPr>
          <w:b/>
          <w:bCs/>
          <w:sz w:val="16"/>
          <w:szCs w:val="16"/>
        </w:rPr>
        <w:t> </w:t>
      </w:r>
    </w:p>
    <w:p w:rsidR="001A3E57" w:rsidRDefault="001A3E57" w:rsidP="001A3E57">
      <w:pPr>
        <w:spacing w:line="252" w:lineRule="auto"/>
        <w:ind w:hanging="10"/>
      </w:pPr>
      <w:r>
        <w:rPr>
          <w:b/>
          <w:bCs/>
          <w:sz w:val="24"/>
          <w:szCs w:val="24"/>
        </w:rPr>
        <w:t xml:space="preserve">What do I have to do? </w:t>
      </w:r>
    </w:p>
    <w:p w:rsidR="001A3E57" w:rsidRDefault="001A3E57" w:rsidP="001A3E57">
      <w:r>
        <w:t xml:space="preserve">If you want to </w:t>
      </w:r>
      <w:r>
        <w:rPr>
          <w:b/>
          <w:bCs/>
        </w:rPr>
        <w:t xml:space="preserve">stay </w:t>
      </w:r>
      <w:r>
        <w:t xml:space="preserve">in your current health plan or other benefits, you don’t have to reenroll. </w:t>
      </w:r>
      <w:r>
        <w:rPr>
          <w:b/>
          <w:bCs/>
        </w:rPr>
        <w:t>But there are changes.</w:t>
      </w:r>
      <w:r>
        <w:t xml:space="preserve"> Please review your benefits to make sure they will suit your needs in 2018. See the link above to the 2018 Decision Guide to review changes.</w:t>
      </w:r>
    </w:p>
    <w:p w:rsidR="001A3E57" w:rsidRDefault="001A3E57" w:rsidP="001A3E57">
      <w:pPr>
        <w:rPr>
          <w:color w:val="1F497D"/>
        </w:rPr>
      </w:pPr>
    </w:p>
    <w:p w:rsidR="001A3E57" w:rsidRDefault="001A3E57" w:rsidP="001A3E57">
      <w:pPr>
        <w:numPr>
          <w:ilvl w:val="0"/>
          <w:numId w:val="1"/>
        </w:numPr>
        <w:spacing w:after="31" w:line="264" w:lineRule="auto"/>
        <w:ind w:hanging="360"/>
      </w:pPr>
      <w:hyperlink r:id="rId14" w:history="1">
        <w:r>
          <w:rPr>
            <w:rStyle w:val="Hyperlink"/>
            <w:b/>
            <w:bCs/>
          </w:rPr>
          <w:t>CDHP/HSA</w:t>
        </w:r>
      </w:hyperlink>
      <w:hyperlink r:id="rId15" w:history="1">
        <w:r>
          <w:rPr>
            <w:rStyle w:val="Hyperlink"/>
            <w:b/>
            <w:bCs/>
            <w:color w:val="000000"/>
            <w:u w:val="none"/>
          </w:rPr>
          <w:t>:</w:t>
        </w:r>
      </w:hyperlink>
      <w:r>
        <w:t xml:space="preserve"> </w:t>
      </w:r>
      <w:r>
        <w:rPr>
          <w:color w:val="1F497D"/>
        </w:rPr>
        <w:t> </w:t>
      </w:r>
      <w:r>
        <w:t>If you enroll in the CDHP, you are not required to update</w:t>
      </w:r>
      <w:r>
        <w:rPr>
          <w:color w:val="1F497D"/>
        </w:rPr>
        <w:t xml:space="preserve"> </w:t>
      </w:r>
      <w:r>
        <w:t xml:space="preserve">or enroll in the HSA amount each year. If you want to change your contribution or enroll, you can do so at any time by completing the </w:t>
      </w:r>
      <w:hyperlink r:id="rId16" w:history="1">
        <w:r>
          <w:rPr>
            <w:rStyle w:val="Hyperlink"/>
            <w:color w:val="auto"/>
          </w:rPr>
          <w:t>HSA Enrollment/Change</w:t>
        </w:r>
      </w:hyperlink>
      <w:r>
        <w:t xml:space="preserve"> form located on the HRS web page.</w:t>
      </w:r>
    </w:p>
    <w:p w:rsidR="001A3E57" w:rsidRDefault="001A3E57" w:rsidP="001A3E57">
      <w:pPr>
        <w:spacing w:after="31" w:line="264" w:lineRule="auto"/>
        <w:rPr>
          <w:color w:val="1F497D"/>
        </w:rPr>
      </w:pPr>
    </w:p>
    <w:p w:rsidR="001A3E57" w:rsidRDefault="001A3E57" w:rsidP="001A3E57">
      <w:pPr>
        <w:numPr>
          <w:ilvl w:val="0"/>
          <w:numId w:val="1"/>
        </w:numPr>
        <w:spacing w:line="252" w:lineRule="auto"/>
        <w:ind w:hanging="360"/>
      </w:pPr>
      <w:hyperlink r:id="rId17" w:history="1">
        <w:r>
          <w:rPr>
            <w:rStyle w:val="Hyperlink"/>
            <w:b/>
            <w:bCs/>
          </w:rPr>
          <w:t>Flexible Spending Accounts</w:t>
        </w:r>
      </w:hyperlink>
      <w:hyperlink r:id="rId18" w:history="1">
        <w:r>
          <w:rPr>
            <w:rStyle w:val="Hyperlink"/>
            <w:b/>
            <w:bCs/>
            <w:color w:val="000000"/>
            <w:u w:val="none"/>
          </w:rPr>
          <w:t xml:space="preserve"> </w:t>
        </w:r>
      </w:hyperlink>
      <w:r>
        <w:rPr>
          <w:b/>
          <w:bCs/>
        </w:rPr>
        <w:t xml:space="preserve">(FSA): </w:t>
      </w:r>
      <w:r>
        <w:t xml:space="preserve">Enroll on the </w:t>
      </w:r>
      <w:proofErr w:type="spellStart"/>
      <w:r>
        <w:t>PayFlex</w:t>
      </w:r>
      <w:proofErr w:type="spellEnd"/>
      <w:r>
        <w:t xml:space="preserve"> website, </w:t>
      </w:r>
      <w:hyperlink r:id="rId19" w:history="1">
        <w:r>
          <w:rPr>
            <w:rStyle w:val="Hyperlink"/>
            <w:b/>
            <w:bCs/>
          </w:rPr>
          <w:t>stateoftn.payflexdirect.com</w:t>
        </w:r>
      </w:hyperlink>
      <w:hyperlink r:id="rId20" w:history="1">
        <w:r>
          <w:rPr>
            <w:rStyle w:val="Hyperlink"/>
            <w:color w:val="000000"/>
            <w:u w:val="none"/>
          </w:rPr>
          <w:t xml:space="preserve"> </w:t>
        </w:r>
      </w:hyperlink>
    </w:p>
    <w:p w:rsidR="001A3E57" w:rsidRDefault="001A3E57" w:rsidP="001A3E57">
      <w:pPr>
        <w:spacing w:after="8" w:line="252" w:lineRule="auto"/>
        <w:ind w:left="360"/>
      </w:pPr>
      <w:r>
        <w:lastRenderedPageBreak/>
        <w:t> </w:t>
      </w:r>
    </w:p>
    <w:p w:rsidR="001A3E57" w:rsidRDefault="001A3E57" w:rsidP="001A3E57">
      <w:r>
        <w:rPr>
          <w:b/>
          <w:bCs/>
          <w:color w:val="C00000"/>
        </w:rPr>
        <w:t>NEW</w:t>
      </w:r>
      <w:hyperlink r:id="rId21" w:history="1">
        <w:r>
          <w:rPr>
            <w:rStyle w:val="Hyperlink"/>
            <w:b/>
            <w:bCs/>
            <w:color w:val="000000"/>
            <w:u w:val="none"/>
          </w:rPr>
          <w:t xml:space="preserve"> </w:t>
        </w:r>
      </w:hyperlink>
      <w:hyperlink r:id="rId22" w:history="1">
        <w:r>
          <w:rPr>
            <w:rStyle w:val="Hyperlink"/>
            <w:b/>
            <w:bCs/>
          </w:rPr>
          <w:t>Disability Insurance</w:t>
        </w:r>
      </w:hyperlink>
      <w:hyperlink r:id="rId23" w:history="1">
        <w:r>
          <w:rPr>
            <w:rStyle w:val="Hyperlink"/>
            <w:b/>
            <w:bCs/>
            <w:color w:val="000000"/>
            <w:u w:val="none"/>
          </w:rPr>
          <w:t>:</w:t>
        </w:r>
      </w:hyperlink>
      <w:r>
        <w:rPr>
          <w:b/>
          <w:bCs/>
        </w:rPr>
        <w:t>  Short Term Disability</w:t>
      </w:r>
      <w:r>
        <w:t xml:space="preserve"> Insurance will be available for higher education employees!</w:t>
      </w:r>
      <w:r>
        <w:rPr>
          <w:b/>
          <w:bCs/>
        </w:rPr>
        <w:t xml:space="preserve"> </w:t>
      </w:r>
    </w:p>
    <w:p w:rsidR="001A3E57" w:rsidRDefault="001A3E57" w:rsidP="001A3E57">
      <w:pPr>
        <w:numPr>
          <w:ilvl w:val="0"/>
          <w:numId w:val="1"/>
        </w:numPr>
        <w:spacing w:after="31" w:line="264" w:lineRule="auto"/>
        <w:ind w:hanging="360"/>
      </w:pPr>
      <w:r>
        <w:t xml:space="preserve">This is the only time current employees can </w:t>
      </w:r>
      <w:r>
        <w:rPr>
          <w:b/>
          <w:bCs/>
        </w:rPr>
        <w:t>enroll with no health questions asked</w:t>
      </w:r>
      <w:r>
        <w:t xml:space="preserve"> — might be an important benefit for those with a chronic condition to consider.  </w:t>
      </w:r>
    </w:p>
    <w:p w:rsidR="001A3E57" w:rsidRDefault="001A3E57" w:rsidP="001A3E57">
      <w:pPr>
        <w:numPr>
          <w:ilvl w:val="0"/>
          <w:numId w:val="1"/>
        </w:numPr>
        <w:spacing w:after="31" w:line="264" w:lineRule="auto"/>
        <w:ind w:hanging="360"/>
      </w:pPr>
      <w:r>
        <w:t xml:space="preserve">Learn more, including </w:t>
      </w:r>
      <w:r>
        <w:rPr>
          <w:b/>
          <w:bCs/>
        </w:rPr>
        <w:t>how to calculate your rate</w:t>
      </w:r>
      <w:r>
        <w:t xml:space="preserve"> (premium), by going to </w:t>
      </w:r>
      <w:hyperlink r:id="rId24" w:history="1">
        <w:r>
          <w:rPr>
            <w:rStyle w:val="Hyperlink"/>
            <w:b/>
            <w:bCs/>
          </w:rPr>
          <w:t>MetLife.com/</w:t>
        </w:r>
        <w:proofErr w:type="spellStart"/>
        <w:r>
          <w:rPr>
            <w:rStyle w:val="Hyperlink"/>
            <w:b/>
            <w:bCs/>
          </w:rPr>
          <w:t>StateOfTN</w:t>
        </w:r>
        <w:proofErr w:type="spellEnd"/>
      </w:hyperlink>
      <w:hyperlink r:id="rId25" w:history="1">
        <w:r>
          <w:rPr>
            <w:rStyle w:val="Hyperlink"/>
            <w:b/>
            <w:bCs/>
          </w:rPr>
          <w:t>.</w:t>
        </w:r>
      </w:hyperlink>
      <w:r>
        <w:t xml:space="preserve">  </w:t>
      </w:r>
    </w:p>
    <w:p w:rsidR="001A3E57" w:rsidRDefault="001A3E57" w:rsidP="001A3E57">
      <w:pPr>
        <w:spacing w:after="31" w:line="264" w:lineRule="auto"/>
      </w:pPr>
    </w:p>
    <w:p w:rsidR="001A3E57" w:rsidRDefault="001A3E57" w:rsidP="001A3E57">
      <w:pPr>
        <w:numPr>
          <w:ilvl w:val="0"/>
          <w:numId w:val="1"/>
        </w:numPr>
        <w:spacing w:after="31" w:line="264" w:lineRule="auto"/>
        <w:ind w:hanging="360"/>
        <w:rPr>
          <w:color w:val="1F497D"/>
        </w:rPr>
      </w:pPr>
      <w:r>
        <w:rPr>
          <w:b/>
          <w:bCs/>
        </w:rPr>
        <w:t>Long Term Disability Insurance</w:t>
      </w:r>
      <w:r>
        <w:t xml:space="preserve"> for Higher Education Employees will be administered by Lincoln Financial Group in 2018.  Employees currently enrolled will automatically be moved to the new vendor, level 3 coverage and no action is necessary.  If you are not enrolled, or would like to make a level change, you must do so through the </w:t>
      </w:r>
      <w:hyperlink r:id="rId26" w:history="1">
        <w:r>
          <w:rPr>
            <w:rStyle w:val="Hyperlink"/>
            <w:b/>
            <w:bCs/>
            <w:color w:val="0070C0"/>
          </w:rPr>
          <w:t>Lincoln Financial</w:t>
        </w:r>
      </w:hyperlink>
      <w:r>
        <w:t xml:space="preserve"> on-line portal.  This is an “open” enrollment for employees.</w:t>
      </w:r>
    </w:p>
    <w:p w:rsidR="001A3E57" w:rsidRDefault="001A3E57" w:rsidP="001A3E57">
      <w:pPr>
        <w:pStyle w:val="ListParagraph"/>
      </w:pPr>
    </w:p>
    <w:p w:rsidR="001A3E57" w:rsidRDefault="001A3E57" w:rsidP="001A3E57">
      <w:pPr>
        <w:numPr>
          <w:ilvl w:val="0"/>
          <w:numId w:val="1"/>
        </w:numPr>
        <w:spacing w:after="31" w:line="264" w:lineRule="auto"/>
        <w:ind w:hanging="360"/>
        <w:rPr>
          <w:color w:val="1F497D"/>
        </w:rPr>
      </w:pPr>
      <w:r>
        <w:t xml:space="preserve">Long Term Care Insurance is closing to new members as of January 1, 2018.  If enrolled, you can keep this coverage, but you will do so directly with the insurance company, </w:t>
      </w:r>
      <w:proofErr w:type="spellStart"/>
      <w:r>
        <w:t>MedAmerica</w:t>
      </w:r>
      <w:proofErr w:type="spellEnd"/>
      <w:r>
        <w:t xml:space="preserve">. </w:t>
      </w:r>
      <w:proofErr w:type="spellStart"/>
      <w:r>
        <w:t>MedAmerica</w:t>
      </w:r>
      <w:proofErr w:type="spellEnd"/>
      <w:r>
        <w:t xml:space="preserve"> will mail information to current, enrolled members.</w:t>
      </w:r>
      <w:r>
        <w:rPr>
          <w:color w:val="1F497D"/>
        </w:rPr>
        <w:t xml:space="preserve">  </w:t>
      </w:r>
      <w:r>
        <w:t>All eligible employees and dependents can still enroll in this coverage through December 31, 2017.</w:t>
      </w:r>
    </w:p>
    <w:p w:rsidR="001A3E57" w:rsidRDefault="001A3E57" w:rsidP="001A3E57">
      <w:pPr>
        <w:spacing w:after="31" w:line="264" w:lineRule="auto"/>
        <w:ind w:left="360"/>
      </w:pPr>
      <w:r>
        <w:t xml:space="preserve">Current active members: Payroll deductions will stop after premiums are collected for December 2017 coverage. After this date, members will pay premiums directly to </w:t>
      </w:r>
      <w:proofErr w:type="spellStart"/>
      <w:r>
        <w:t>MedAmerica</w:t>
      </w:r>
      <w:proofErr w:type="spellEnd"/>
      <w:r>
        <w:t>.</w:t>
      </w:r>
    </w:p>
    <w:p w:rsidR="001A3E57" w:rsidRDefault="001A3E57" w:rsidP="001A3E57">
      <w:pPr>
        <w:spacing w:after="51" w:line="252" w:lineRule="auto"/>
      </w:pPr>
      <w:r>
        <w:rPr>
          <w:b/>
          <w:bCs/>
        </w:rPr>
        <w:t> </w:t>
      </w:r>
    </w:p>
    <w:p w:rsidR="001A3E57" w:rsidRDefault="001A3E57" w:rsidP="001A3E57">
      <w:pPr>
        <w:spacing w:line="252" w:lineRule="auto"/>
        <w:ind w:hanging="10"/>
      </w:pPr>
      <w:r>
        <w:rPr>
          <w:b/>
          <w:bCs/>
          <w:sz w:val="24"/>
          <w:szCs w:val="24"/>
        </w:rPr>
        <w:t>Need help?</w:t>
      </w:r>
      <w:r>
        <w:rPr>
          <w:sz w:val="24"/>
          <w:szCs w:val="24"/>
        </w:rPr>
        <w:t xml:space="preserve"> </w:t>
      </w:r>
    </w:p>
    <w:p w:rsidR="001A3E57" w:rsidRDefault="001A3E57" w:rsidP="001A3E57">
      <w:pPr>
        <w:numPr>
          <w:ilvl w:val="0"/>
          <w:numId w:val="1"/>
        </w:numPr>
        <w:spacing w:line="252" w:lineRule="auto"/>
        <w:ind w:hanging="360"/>
      </w:pPr>
      <w:r>
        <w:t xml:space="preserve">Attend an </w:t>
      </w:r>
      <w:hyperlink r:id="rId27" w:history="1">
        <w:r>
          <w:rPr>
            <w:rStyle w:val="Hyperlink"/>
            <w:b/>
            <w:bCs/>
          </w:rPr>
          <w:t>employee informational webinar</w:t>
        </w:r>
      </w:hyperlink>
      <w:hyperlink r:id="rId28" w:history="1">
        <w:r>
          <w:rPr>
            <w:rStyle w:val="Hyperlink"/>
            <w:b/>
            <w:bCs/>
            <w:color w:val="000000"/>
            <w:u w:val="none"/>
          </w:rPr>
          <w:t>.</w:t>
        </w:r>
      </w:hyperlink>
      <w:r>
        <w:t xml:space="preserve"> </w:t>
      </w:r>
    </w:p>
    <w:p w:rsidR="001A3E57" w:rsidRDefault="001A3E57" w:rsidP="001A3E57">
      <w:pPr>
        <w:numPr>
          <w:ilvl w:val="0"/>
          <w:numId w:val="1"/>
        </w:numPr>
        <w:spacing w:after="31" w:line="264" w:lineRule="auto"/>
        <w:ind w:hanging="360"/>
      </w:pPr>
      <w:r>
        <w:rPr>
          <w:b/>
          <w:bCs/>
          <w:color w:val="8F0606"/>
        </w:rPr>
        <w:t>NEW</w:t>
      </w:r>
      <w:r>
        <w:t xml:space="preserve"> - chat online at </w:t>
      </w:r>
      <w:hyperlink r:id="rId29" w:history="1">
        <w:r>
          <w:rPr>
            <w:rStyle w:val="Hyperlink"/>
            <w:b/>
            <w:bCs/>
          </w:rPr>
          <w:t>http://www.partnersforhealthtn.gov/</w:t>
        </w:r>
      </w:hyperlink>
      <w:hyperlink r:id="rId30" w:history="1">
        <w:r>
          <w:rPr>
            <w:rStyle w:val="Hyperlink"/>
            <w:color w:val="000000"/>
            <w:u w:val="none"/>
          </w:rPr>
          <w:t>.</w:t>
        </w:r>
      </w:hyperlink>
      <w:r>
        <w:t xml:space="preserve"> Click the green </w:t>
      </w:r>
      <w:r>
        <w:rPr>
          <w:b/>
          <w:bCs/>
          <w:color w:val="00B050"/>
        </w:rPr>
        <w:t>HELP</w:t>
      </w:r>
      <w:r>
        <w:rPr>
          <w:b/>
          <w:bCs/>
        </w:rPr>
        <w:t xml:space="preserve"> </w:t>
      </w:r>
      <w:r>
        <w:t xml:space="preserve">button. </w:t>
      </w:r>
    </w:p>
    <w:p w:rsidR="001A3E57" w:rsidRDefault="001A3E57" w:rsidP="001A3E57">
      <w:r>
        <w:t xml:space="preserve">Call Benefits Administration at </w:t>
      </w:r>
      <w:r>
        <w:rPr>
          <w:color w:val="0A010A"/>
        </w:rPr>
        <w:t>800.253.9981</w:t>
      </w:r>
      <w:r>
        <w:t xml:space="preserve">, M-F, 8 a.m. to 4:30 p.m. Central. Search the help desk, find articles or submit a question at </w:t>
      </w:r>
      <w:hyperlink r:id="rId31" w:history="1">
        <w:r>
          <w:rPr>
            <w:rStyle w:val="Hyperlink"/>
            <w:b/>
            <w:bCs/>
          </w:rPr>
          <w:t>benefitssupport.tn.gov/</w:t>
        </w:r>
        <w:proofErr w:type="spellStart"/>
        <w:r>
          <w:rPr>
            <w:rStyle w:val="Hyperlink"/>
            <w:b/>
            <w:bCs/>
          </w:rPr>
          <w:t>hc</w:t>
        </w:r>
        <w:proofErr w:type="spellEnd"/>
        <w:r>
          <w:rPr>
            <w:rStyle w:val="Hyperlink"/>
            <w:b/>
            <w:bCs/>
          </w:rPr>
          <w:t>/</w:t>
        </w:r>
        <w:proofErr w:type="spellStart"/>
        <w:r>
          <w:rPr>
            <w:rStyle w:val="Hyperlink"/>
            <w:b/>
            <w:bCs/>
          </w:rPr>
          <w:t>en</w:t>
        </w:r>
        <w:proofErr w:type="spellEnd"/>
      </w:hyperlink>
      <w:hyperlink r:id="rId32" w:history="1">
        <w:r>
          <w:rPr>
            <w:rStyle w:val="Hyperlink"/>
            <w:b/>
            <w:bCs/>
          </w:rPr>
          <w:t>-</w:t>
        </w:r>
      </w:hyperlink>
      <w:hyperlink r:id="rId33" w:history="1">
        <w:r>
          <w:rPr>
            <w:rStyle w:val="Hyperlink"/>
            <w:b/>
            <w:bCs/>
          </w:rPr>
          <w:t>us</w:t>
        </w:r>
      </w:hyperlink>
      <w:hyperlink r:id="rId34" w:history="1">
        <w:r>
          <w:rPr>
            <w:rStyle w:val="Hyperlink"/>
            <w:b/>
            <w:bCs/>
            <w:color w:val="000000"/>
            <w:u w:val="none"/>
          </w:rPr>
          <w:t>.</w:t>
        </w:r>
      </w:hyperlink>
    </w:p>
    <w:p w:rsidR="001A3E57" w:rsidRDefault="001A3E57" w:rsidP="001A3E57"/>
    <w:p w:rsidR="001A3E57" w:rsidRDefault="001A3E57" w:rsidP="001A3E57"/>
    <w:p w:rsidR="003157A3" w:rsidRDefault="001A3E57">
      <w:bookmarkStart w:id="0" w:name="_GoBack"/>
      <w:bookmarkEnd w:id="0"/>
    </w:p>
    <w:sectPr w:rsidR="0031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886"/>
    <w:multiLevelType w:val="hybridMultilevel"/>
    <w:tmpl w:val="47CA7650"/>
    <w:lvl w:ilvl="0" w:tplc="665E95EA">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D0A91C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564E858">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264AACE">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6D82328">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F4200E">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D80EA5A">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6A26322">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5D8F584">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57"/>
    <w:rsid w:val="001A3E57"/>
    <w:rsid w:val="0025060A"/>
    <w:rsid w:val="009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10F885-D887-45AC-85BB-41A8BD74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E57"/>
    <w:rPr>
      <w:color w:val="0563C1"/>
      <w:u w:val="single"/>
    </w:rPr>
  </w:style>
  <w:style w:type="paragraph" w:styleId="ListParagraph">
    <w:name w:val="List Paragraph"/>
    <w:basedOn w:val="Normal"/>
    <w:uiPriority w:val="34"/>
    <w:qFormat/>
    <w:rsid w:val="001A3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hrs/benefits/annual_enrollment_transfer.php" TargetMode="External"/><Relationship Id="rId13" Type="http://schemas.openxmlformats.org/officeDocument/2006/relationships/hyperlink" Target="https://www.youtube.com/user/partnersforhealthtn/videos" TargetMode="External"/><Relationship Id="rId18" Type="http://schemas.openxmlformats.org/officeDocument/2006/relationships/hyperlink" Target="http://www.partnersforhealthtn.gov/flexible_benefits.shtml" TargetMode="External"/><Relationship Id="rId26" Type="http://schemas.openxmlformats.org/officeDocument/2006/relationships/hyperlink" Target="https://www.steps2enroll.com/tennbor/Login" TargetMode="External"/><Relationship Id="rId3" Type="http://schemas.openxmlformats.org/officeDocument/2006/relationships/settings" Target="settings.xml"/><Relationship Id="rId21" Type="http://schemas.openxmlformats.org/officeDocument/2006/relationships/hyperlink" Target="http://www.partnersforhealthtn.gov/disability.shtml" TargetMode="External"/><Relationship Id="rId34" Type="http://schemas.openxmlformats.org/officeDocument/2006/relationships/hyperlink" Target="https://benefitssupport.tn.gov/hc/en-us" TargetMode="External"/><Relationship Id="rId7" Type="http://schemas.openxmlformats.org/officeDocument/2006/relationships/image" Target="media/image2.jpeg"/><Relationship Id="rId12" Type="http://schemas.openxmlformats.org/officeDocument/2006/relationships/hyperlink" Target="https://www.youtube.com/user/partnersforhealthtn" TargetMode="External"/><Relationship Id="rId17" Type="http://schemas.openxmlformats.org/officeDocument/2006/relationships/hyperlink" Target="http://www.partnersforhealthtn.gov/flexible_benefits.shtml" TargetMode="External"/><Relationship Id="rId25" Type="http://schemas.openxmlformats.org/officeDocument/2006/relationships/hyperlink" Target="https://www.metlife.com/StateofTN/index.html" TargetMode="External"/><Relationship Id="rId33" Type="http://schemas.openxmlformats.org/officeDocument/2006/relationships/hyperlink" Target="https://benefitssupport.tn.gov/hc/en-us" TargetMode="External"/><Relationship Id="rId2" Type="http://schemas.openxmlformats.org/officeDocument/2006/relationships/styles" Target="styles.xml"/><Relationship Id="rId16" Type="http://schemas.openxmlformats.org/officeDocument/2006/relationships/hyperlink" Target="http://www.mtsu.edu/hrs/benefits/flex.php" TargetMode="External"/><Relationship Id="rId20" Type="http://schemas.openxmlformats.org/officeDocument/2006/relationships/hyperlink" Target="https://stateoftn.payflexdirect.com/EmployeeLogin.aspx" TargetMode="External"/><Relationship Id="rId29" Type="http://schemas.openxmlformats.org/officeDocument/2006/relationships/hyperlink" Target="http://www.partnersforhealthtn.gov/" TargetMode="External"/><Relationship Id="rId1" Type="http://schemas.openxmlformats.org/officeDocument/2006/relationships/numbering" Target="numbering.xml"/><Relationship Id="rId6" Type="http://schemas.openxmlformats.org/officeDocument/2006/relationships/image" Target="cid:image001.png@01D34296.9AF918A0" TargetMode="External"/><Relationship Id="rId11" Type="http://schemas.openxmlformats.org/officeDocument/2006/relationships/hyperlink" Target="https://www.youtube.com/user/partnersforhealthtn/videos" TargetMode="External"/><Relationship Id="rId24" Type="http://schemas.openxmlformats.org/officeDocument/2006/relationships/hyperlink" Target="https://www.metlife.com/StateofTN/index.html" TargetMode="External"/><Relationship Id="rId32" Type="http://schemas.openxmlformats.org/officeDocument/2006/relationships/hyperlink" Target="https://benefitssupport.tn.gov/hc/en-us" TargetMode="External"/><Relationship Id="rId5" Type="http://schemas.openxmlformats.org/officeDocument/2006/relationships/image" Target="media/image1.png"/><Relationship Id="rId15" Type="http://schemas.openxmlformats.org/officeDocument/2006/relationships/hyperlink" Target="http://www.partnersforhealthtn.gov/cdhp.shtml" TargetMode="External"/><Relationship Id="rId23" Type="http://schemas.openxmlformats.org/officeDocument/2006/relationships/hyperlink" Target="http://www.partnersforhealthtn.gov/disability.shtml" TargetMode="External"/><Relationship Id="rId28" Type="http://schemas.openxmlformats.org/officeDocument/2006/relationships/hyperlink" Target="http://www.partnersforhealthtn.gov/documents/2018_aep_webinar_flier_st_he.pdf" TargetMode="External"/><Relationship Id="rId36" Type="http://schemas.openxmlformats.org/officeDocument/2006/relationships/theme" Target="theme/theme1.xml"/><Relationship Id="rId10" Type="http://schemas.openxmlformats.org/officeDocument/2006/relationships/hyperlink" Target="http://www.partnersforhealthtn.gov/enrollment_material.shtml" TargetMode="External"/><Relationship Id="rId19" Type="http://schemas.openxmlformats.org/officeDocument/2006/relationships/hyperlink" Target="https://stateoftn.payflexdirect.com/EmployeeLogin.aspx" TargetMode="External"/><Relationship Id="rId31" Type="http://schemas.openxmlformats.org/officeDocument/2006/relationships/hyperlink" Target="https://benefitssupport.tn.gov/hc/en-us" TargetMode="External"/><Relationship Id="rId4" Type="http://schemas.openxmlformats.org/officeDocument/2006/relationships/webSettings" Target="webSettings.xml"/><Relationship Id="rId9" Type="http://schemas.openxmlformats.org/officeDocument/2006/relationships/hyperlink" Target="http://www.partnersforhealthtn.gov/documents/2018_decision_guide_st_he.pdf" TargetMode="External"/><Relationship Id="rId14" Type="http://schemas.openxmlformats.org/officeDocument/2006/relationships/hyperlink" Target="http://www.partnersforhealthtn.gov/cdhp.shtml" TargetMode="External"/><Relationship Id="rId22" Type="http://schemas.openxmlformats.org/officeDocument/2006/relationships/hyperlink" Target="http://www.partnersforhealthtn.gov/disability.shtml" TargetMode="External"/><Relationship Id="rId27" Type="http://schemas.openxmlformats.org/officeDocument/2006/relationships/hyperlink" Target="http://www.partnersforhealthtn.gov/documents/2018_aep_webinar_flier_st_he.pdf" TargetMode="External"/><Relationship Id="rId30" Type="http://schemas.openxmlformats.org/officeDocument/2006/relationships/hyperlink" Target="http://www.partnersforhealthtn.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Givens</dc:creator>
  <cp:keywords/>
  <dc:description/>
  <cp:lastModifiedBy>Debbie Givens</cp:lastModifiedBy>
  <cp:revision>1</cp:revision>
  <dcterms:created xsi:type="dcterms:W3CDTF">2017-10-12T13:28:00Z</dcterms:created>
  <dcterms:modified xsi:type="dcterms:W3CDTF">2017-10-12T13:30:00Z</dcterms:modified>
</cp:coreProperties>
</file>