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9292" w14:textId="77777777" w:rsidR="00782EC8" w:rsidRDefault="00782EC8" w:rsidP="00782EC8">
      <w:pPr>
        <w:shd w:val="clear" w:color="auto" w:fill="FFFFFF"/>
        <w:spacing w:after="0" w:line="240" w:lineRule="auto"/>
        <w:outlineLvl w:val="0"/>
        <w:rPr>
          <w:rFonts w:eastAsia="Times New Roman" w:cs="Times New Roman"/>
          <w:b/>
          <w:bCs/>
          <w:kern w:val="36"/>
          <w:sz w:val="24"/>
          <w:szCs w:val="24"/>
        </w:rPr>
      </w:pPr>
      <w:r w:rsidRPr="009A188C">
        <w:rPr>
          <w:rStyle w:val="Strong"/>
          <w:rFonts w:cs="Helvetica"/>
          <w:noProof/>
          <w:sz w:val="24"/>
          <w:szCs w:val="24"/>
          <w:shd w:val="clear" w:color="auto" w:fill="FFFFFF"/>
        </w:rPr>
        <w:drawing>
          <wp:inline distT="0" distB="0" distL="0" distR="0" wp14:anchorId="02306D57" wp14:editId="16DF448D">
            <wp:extent cx="1581150" cy="771525"/>
            <wp:effectExtent l="0" t="0" r="0" b="9525"/>
            <wp:docPr id="1" name="Picture 1" descr="C:\Users\spresto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eston\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771525"/>
                    </a:xfrm>
                    <a:prstGeom prst="rect">
                      <a:avLst/>
                    </a:prstGeom>
                    <a:noFill/>
                    <a:ln>
                      <a:noFill/>
                    </a:ln>
                  </pic:spPr>
                </pic:pic>
              </a:graphicData>
            </a:graphic>
          </wp:inline>
        </w:drawing>
      </w:r>
    </w:p>
    <w:p w14:paraId="79C3E398" w14:textId="77777777" w:rsidR="00782EC8" w:rsidRDefault="00782EC8" w:rsidP="00782EC8">
      <w:pPr>
        <w:shd w:val="clear" w:color="auto" w:fill="FFFFFF"/>
        <w:spacing w:after="0" w:line="240" w:lineRule="auto"/>
        <w:outlineLvl w:val="0"/>
        <w:rPr>
          <w:rFonts w:eastAsia="Times New Roman" w:cs="Times New Roman"/>
          <w:b/>
          <w:bCs/>
          <w:kern w:val="36"/>
          <w:sz w:val="24"/>
          <w:szCs w:val="24"/>
        </w:rPr>
      </w:pPr>
    </w:p>
    <w:p w14:paraId="464E2430" w14:textId="77777777" w:rsidR="001B2994" w:rsidRPr="001B2994" w:rsidRDefault="001B2994" w:rsidP="001B2994">
      <w:pPr>
        <w:shd w:val="clear" w:color="auto" w:fill="FFFFFF"/>
        <w:spacing w:after="0" w:line="240" w:lineRule="auto"/>
        <w:outlineLvl w:val="0"/>
        <w:rPr>
          <w:rFonts w:eastAsia="Times New Roman" w:cs="Times New Roman"/>
          <w:b/>
          <w:bCs/>
          <w:kern w:val="36"/>
          <w:sz w:val="28"/>
          <w:szCs w:val="24"/>
        </w:rPr>
      </w:pPr>
      <w:r>
        <w:rPr>
          <w:rFonts w:eastAsia="Times New Roman" w:cs="Times New Roman"/>
          <w:b/>
          <w:bCs/>
          <w:kern w:val="36"/>
          <w:sz w:val="28"/>
          <w:szCs w:val="24"/>
        </w:rPr>
        <w:t xml:space="preserve">618 </w:t>
      </w:r>
      <w:r w:rsidRPr="001B2994">
        <w:rPr>
          <w:rFonts w:eastAsia="Times New Roman" w:cs="Times New Roman"/>
          <w:b/>
          <w:bCs/>
          <w:kern w:val="36"/>
          <w:sz w:val="28"/>
          <w:szCs w:val="24"/>
        </w:rPr>
        <w:t>Use of Out-of-State Undergraduate Tuition and Fee Revenues</w:t>
      </w:r>
    </w:p>
    <w:p w14:paraId="5E88D5B4" w14:textId="77777777" w:rsidR="00904437" w:rsidRPr="006B2F1D" w:rsidRDefault="00904437" w:rsidP="00904437">
      <w:pPr>
        <w:shd w:val="clear" w:color="auto" w:fill="FFFFFF"/>
        <w:spacing w:after="0" w:line="240" w:lineRule="auto"/>
        <w:jc w:val="center"/>
        <w:outlineLvl w:val="0"/>
        <w:rPr>
          <w:rFonts w:eastAsia="Times New Roman" w:cs="Times New Roman"/>
          <w:b/>
          <w:bCs/>
          <w:kern w:val="36"/>
          <w:sz w:val="24"/>
          <w:szCs w:val="24"/>
        </w:rPr>
      </w:pPr>
    </w:p>
    <w:p w14:paraId="427B4F34" w14:textId="492002CD" w:rsidR="00782EC8" w:rsidRPr="00202E22" w:rsidRDefault="00782EC8" w:rsidP="00A66EAE">
      <w:pPr>
        <w:spacing w:line="240" w:lineRule="auto"/>
        <w:rPr>
          <w:rStyle w:val="Strong"/>
          <w:rFonts w:cs="Helvetica"/>
          <w:sz w:val="24"/>
          <w:szCs w:val="24"/>
          <w:shd w:val="clear" w:color="auto" w:fill="FFFFFF"/>
        </w:rPr>
      </w:pPr>
      <w:r w:rsidRPr="00202E22">
        <w:rPr>
          <w:rStyle w:val="Strong"/>
          <w:rFonts w:cs="Helvetica"/>
          <w:sz w:val="24"/>
          <w:szCs w:val="24"/>
          <w:shd w:val="clear" w:color="auto" w:fill="FFFFFF"/>
        </w:rPr>
        <w:t xml:space="preserve">Approved by </w:t>
      </w:r>
      <w:r w:rsidR="00C91B2A">
        <w:rPr>
          <w:rStyle w:val="Strong"/>
          <w:rFonts w:cs="Helvetica"/>
          <w:sz w:val="24"/>
          <w:szCs w:val="24"/>
          <w:shd w:val="clear" w:color="auto" w:fill="FFFFFF"/>
        </w:rPr>
        <w:t>Board of Trustees</w:t>
      </w:r>
      <w:r w:rsidRPr="00202E22">
        <w:rPr>
          <w:rFonts w:cs="Helvetica"/>
          <w:b/>
          <w:bCs/>
          <w:sz w:val="24"/>
          <w:szCs w:val="24"/>
          <w:shd w:val="clear" w:color="auto" w:fill="FFFFFF"/>
        </w:rPr>
        <w:br/>
      </w:r>
      <w:r w:rsidR="00F96C4C" w:rsidRPr="00F96C4C">
        <w:rPr>
          <w:rStyle w:val="Strong"/>
          <w:rFonts w:cs="Helvetica"/>
          <w:sz w:val="24"/>
          <w:szCs w:val="24"/>
          <w:shd w:val="clear" w:color="auto" w:fill="FFFFFF"/>
        </w:rPr>
        <w:t xml:space="preserve">Effective Date: </w:t>
      </w:r>
      <w:r w:rsidR="001B2994">
        <w:rPr>
          <w:rStyle w:val="Strong"/>
          <w:rFonts w:cs="Helvetica"/>
          <w:sz w:val="24"/>
          <w:szCs w:val="24"/>
          <w:shd w:val="clear" w:color="auto" w:fill="FFFFFF"/>
        </w:rPr>
        <w:t>July 1, 2026</w:t>
      </w:r>
      <w:r w:rsidRPr="00202E22">
        <w:rPr>
          <w:rFonts w:cs="Helvetica"/>
          <w:b/>
          <w:bCs/>
          <w:sz w:val="24"/>
          <w:szCs w:val="24"/>
          <w:shd w:val="clear" w:color="auto" w:fill="FFFFFF"/>
        </w:rPr>
        <w:br/>
      </w:r>
      <w:r w:rsidRPr="00202E22">
        <w:rPr>
          <w:rStyle w:val="Strong"/>
          <w:rFonts w:cs="Helvetica"/>
          <w:sz w:val="24"/>
          <w:szCs w:val="24"/>
          <w:shd w:val="clear" w:color="auto" w:fill="FFFFFF"/>
        </w:rPr>
        <w:t xml:space="preserve">Responsible Division: </w:t>
      </w:r>
      <w:r w:rsidR="001B2994">
        <w:rPr>
          <w:rStyle w:val="Strong"/>
          <w:rFonts w:cs="Helvetica"/>
          <w:sz w:val="24"/>
          <w:szCs w:val="24"/>
          <w:shd w:val="clear" w:color="auto" w:fill="FFFFFF"/>
        </w:rPr>
        <w:t>Business and Finance</w:t>
      </w:r>
      <w:r w:rsidR="008D287D">
        <w:rPr>
          <w:rStyle w:val="Strong"/>
          <w:rFonts w:cs="Helvetica"/>
          <w:sz w:val="24"/>
          <w:szCs w:val="24"/>
          <w:shd w:val="clear" w:color="auto" w:fill="FFFFFF"/>
        </w:rPr>
        <w:tab/>
      </w:r>
      <w:r w:rsidRPr="00202E22">
        <w:rPr>
          <w:rFonts w:cs="Helvetica"/>
          <w:b/>
          <w:bCs/>
          <w:sz w:val="24"/>
          <w:szCs w:val="24"/>
          <w:shd w:val="clear" w:color="auto" w:fill="FFFFFF"/>
        </w:rPr>
        <w:br/>
      </w:r>
      <w:r w:rsidRPr="00202E22">
        <w:rPr>
          <w:rStyle w:val="Strong"/>
          <w:rFonts w:cs="Helvetica"/>
          <w:sz w:val="24"/>
          <w:szCs w:val="24"/>
          <w:shd w:val="clear" w:color="auto" w:fill="FFFFFF"/>
        </w:rPr>
        <w:t xml:space="preserve">Responsible Office: </w:t>
      </w:r>
      <w:r w:rsidR="001B2994">
        <w:rPr>
          <w:rStyle w:val="Strong"/>
          <w:rFonts w:cs="Helvetica"/>
          <w:sz w:val="24"/>
          <w:szCs w:val="24"/>
          <w:shd w:val="clear" w:color="auto" w:fill="FFFFFF"/>
        </w:rPr>
        <w:t>Business and Finance</w:t>
      </w:r>
      <w:r w:rsidRPr="00202E22">
        <w:rPr>
          <w:rFonts w:cs="Helvetica"/>
          <w:b/>
          <w:bCs/>
          <w:sz w:val="24"/>
          <w:szCs w:val="24"/>
          <w:shd w:val="clear" w:color="auto" w:fill="FFFFFF"/>
        </w:rPr>
        <w:br/>
      </w:r>
      <w:r w:rsidRPr="00202E22">
        <w:rPr>
          <w:rStyle w:val="Strong"/>
          <w:rFonts w:cs="Helvetica"/>
          <w:sz w:val="24"/>
          <w:szCs w:val="24"/>
          <w:shd w:val="clear" w:color="auto" w:fill="FFFFFF"/>
        </w:rPr>
        <w:t>Responsible Officer: </w:t>
      </w:r>
      <w:r w:rsidR="001B2994" w:rsidRPr="001B2994">
        <w:rPr>
          <w:rStyle w:val="Strong"/>
          <w:rFonts w:cs="Helvetica"/>
          <w:sz w:val="24"/>
          <w:szCs w:val="24"/>
          <w:shd w:val="clear" w:color="auto" w:fill="FFFFFF"/>
        </w:rPr>
        <w:t>Associate Vice President, Business and Finance</w:t>
      </w:r>
    </w:p>
    <w:p w14:paraId="0F9A5E8D" w14:textId="77777777" w:rsidR="00CF6BF5" w:rsidRPr="006B2F1D" w:rsidRDefault="00CF6BF5" w:rsidP="00B763DF">
      <w:pPr>
        <w:pStyle w:val="ListParagraph"/>
        <w:numPr>
          <w:ilvl w:val="0"/>
          <w:numId w:val="5"/>
        </w:numPr>
        <w:spacing w:after="0" w:line="240" w:lineRule="auto"/>
        <w:rPr>
          <w:b/>
          <w:bCs/>
          <w:sz w:val="24"/>
          <w:szCs w:val="24"/>
        </w:rPr>
      </w:pPr>
      <w:bookmarkStart w:id="0" w:name="purpose"/>
      <w:bookmarkEnd w:id="0"/>
      <w:r w:rsidRPr="006B2F1D">
        <w:rPr>
          <w:b/>
          <w:bCs/>
          <w:sz w:val="24"/>
          <w:szCs w:val="24"/>
        </w:rPr>
        <w:t>Purpose</w:t>
      </w:r>
    </w:p>
    <w:p w14:paraId="302A06D7" w14:textId="77777777" w:rsidR="00904437" w:rsidRPr="006B2F1D" w:rsidRDefault="00904437" w:rsidP="00B763DF">
      <w:pPr>
        <w:pStyle w:val="ListParagraph"/>
        <w:spacing w:after="0" w:line="240" w:lineRule="auto"/>
        <w:ind w:left="1080"/>
        <w:rPr>
          <w:b/>
          <w:bCs/>
          <w:sz w:val="24"/>
          <w:szCs w:val="24"/>
        </w:rPr>
      </w:pPr>
    </w:p>
    <w:p w14:paraId="5F81DBDB" w14:textId="5DBB671D" w:rsidR="001E6DAA" w:rsidRDefault="001E6DAA" w:rsidP="00B763DF">
      <w:pPr>
        <w:shd w:val="clear" w:color="auto" w:fill="FFFFFF"/>
        <w:spacing w:after="0" w:line="240" w:lineRule="auto"/>
        <w:rPr>
          <w:rFonts w:eastAsia="Times New Roman" w:cs="Times New Roman"/>
          <w:sz w:val="24"/>
          <w:szCs w:val="24"/>
        </w:rPr>
      </w:pPr>
      <w:r w:rsidRPr="001E6DAA">
        <w:rPr>
          <w:rFonts w:eastAsia="Times New Roman" w:cs="Times New Roman"/>
          <w:sz w:val="24"/>
          <w:szCs w:val="24"/>
        </w:rPr>
        <w:t>This policy establishes the framework by which Middle Tennessee State University (“MTSU” or “the University”) utilizes revenues generated from out-of-state undergraduate tuition and fees, in compliance with Tennessee Code Annotated</w:t>
      </w:r>
      <w:r>
        <w:rPr>
          <w:rFonts w:eastAsia="Times New Roman" w:cs="Times New Roman"/>
          <w:sz w:val="24"/>
          <w:szCs w:val="24"/>
        </w:rPr>
        <w:t xml:space="preserve"> </w:t>
      </w:r>
      <w:r>
        <w:rPr>
          <w:rFonts w:eastAsia="Times New Roman" w:cstheme="minorHAnsi"/>
          <w:sz w:val="24"/>
          <w:szCs w:val="24"/>
        </w:rPr>
        <w:t>§ </w:t>
      </w:r>
      <w:r w:rsidRPr="001E6DAA">
        <w:rPr>
          <w:rFonts w:eastAsia="Times New Roman" w:cs="Times New Roman"/>
          <w:sz w:val="24"/>
          <w:szCs w:val="24"/>
        </w:rPr>
        <w:t>49-7-196.</w:t>
      </w:r>
    </w:p>
    <w:p w14:paraId="306FF99B" w14:textId="77777777" w:rsidR="001E6DAA" w:rsidRPr="001E6DAA" w:rsidRDefault="001E6DAA" w:rsidP="00B763DF">
      <w:pPr>
        <w:shd w:val="clear" w:color="auto" w:fill="FFFFFF"/>
        <w:spacing w:after="0" w:line="240" w:lineRule="auto"/>
        <w:rPr>
          <w:rFonts w:eastAsia="Times New Roman" w:cs="Times New Roman"/>
          <w:sz w:val="24"/>
          <w:szCs w:val="24"/>
        </w:rPr>
      </w:pPr>
    </w:p>
    <w:p w14:paraId="77FC8CB3" w14:textId="13DC3E12" w:rsidR="00904437" w:rsidRDefault="001E6DAA" w:rsidP="00B763DF">
      <w:pPr>
        <w:shd w:val="clear" w:color="auto" w:fill="FFFFFF"/>
        <w:spacing w:after="0" w:line="240" w:lineRule="auto"/>
        <w:rPr>
          <w:rFonts w:eastAsia="Times New Roman" w:cs="Times New Roman"/>
          <w:sz w:val="24"/>
          <w:szCs w:val="24"/>
        </w:rPr>
      </w:pPr>
      <w:r w:rsidRPr="001E6DAA">
        <w:rPr>
          <w:rFonts w:eastAsia="Times New Roman" w:cs="Times New Roman"/>
          <w:sz w:val="24"/>
          <w:szCs w:val="24"/>
        </w:rPr>
        <w:t>The purpose of this policy is to ensure transparency, accountability, and strategic alignment in the use of such revenues, including consideration of how those revenues may be used to mitigate tuition and fee costs for in-state undergraduate students.</w:t>
      </w:r>
    </w:p>
    <w:p w14:paraId="3F12CB85" w14:textId="77777777" w:rsidR="00DB6FCD" w:rsidRPr="00B763DF" w:rsidRDefault="00DB6FCD" w:rsidP="00B763DF"/>
    <w:p w14:paraId="36C16072" w14:textId="77777777" w:rsidR="007F7B69" w:rsidRPr="00B763DF" w:rsidRDefault="00DB6FCD" w:rsidP="00B763DF">
      <w:pPr>
        <w:pStyle w:val="ListParagraph"/>
        <w:numPr>
          <w:ilvl w:val="0"/>
          <w:numId w:val="5"/>
        </w:numPr>
        <w:shd w:val="clear" w:color="auto" w:fill="FFFFFF"/>
        <w:spacing w:after="0" w:line="240" w:lineRule="auto"/>
        <w:rPr>
          <w:rFonts w:eastAsia="Times New Roman" w:cs="Times New Roman"/>
          <w:b/>
          <w:sz w:val="24"/>
          <w:szCs w:val="24"/>
        </w:rPr>
      </w:pPr>
      <w:bookmarkStart w:id="1" w:name="definitions"/>
      <w:bookmarkStart w:id="2" w:name="Introduction"/>
      <w:bookmarkEnd w:id="1"/>
      <w:r w:rsidRPr="00B763DF">
        <w:rPr>
          <w:rFonts w:eastAsia="Times New Roman" w:cs="Times New Roman"/>
          <w:b/>
          <w:sz w:val="24"/>
          <w:szCs w:val="24"/>
        </w:rPr>
        <w:t>Policy Statement</w:t>
      </w:r>
      <w:bookmarkEnd w:id="2"/>
    </w:p>
    <w:p w14:paraId="50199EA1" w14:textId="77777777" w:rsidR="007F7B69" w:rsidRPr="00B763DF" w:rsidRDefault="007F7B69" w:rsidP="00B763DF"/>
    <w:p w14:paraId="246A280F" w14:textId="634A9DBD" w:rsidR="007F7B69" w:rsidRPr="00B763DF" w:rsidRDefault="00DB6FCD" w:rsidP="00B763DF">
      <w:r w:rsidRPr="007F7B69">
        <w:rPr>
          <w:rFonts w:eastAsia="Times New Roman" w:cs="Times New Roman"/>
          <w:sz w:val="24"/>
          <w:szCs w:val="24"/>
        </w:rPr>
        <w:t>The MTSU Board of Trustees affirms that revenues derived from out-of-state undergraduate tuition and fees are an important component of the University’s overall financial structure and support the institution’s educational mission, academic quality, and operational sustainability.</w:t>
      </w:r>
    </w:p>
    <w:p w14:paraId="2B62C5CF" w14:textId="6671F0FE" w:rsidR="00CF6BF5" w:rsidRPr="006B2F1D" w:rsidRDefault="00DB6FCD" w:rsidP="00B763DF">
      <w:pPr>
        <w:pStyle w:val="ListParagraph"/>
        <w:numPr>
          <w:ilvl w:val="0"/>
          <w:numId w:val="5"/>
        </w:numPr>
        <w:shd w:val="clear" w:color="auto" w:fill="FFFFFF"/>
        <w:spacing w:after="0" w:line="240" w:lineRule="auto"/>
        <w:rPr>
          <w:rFonts w:eastAsia="Times New Roman" w:cs="Times New Roman"/>
          <w:b/>
          <w:sz w:val="24"/>
          <w:szCs w:val="24"/>
        </w:rPr>
      </w:pPr>
      <w:r w:rsidRPr="00DB6FCD">
        <w:rPr>
          <w:rFonts w:eastAsia="Times New Roman" w:cs="Times New Roman"/>
          <w:b/>
          <w:sz w:val="24"/>
          <w:szCs w:val="24"/>
        </w:rPr>
        <w:t xml:space="preserve">Use </w:t>
      </w:r>
      <w:r>
        <w:rPr>
          <w:rFonts w:eastAsia="Times New Roman" w:cs="Times New Roman"/>
          <w:b/>
          <w:sz w:val="24"/>
          <w:szCs w:val="24"/>
        </w:rPr>
        <w:t>o</w:t>
      </w:r>
      <w:r w:rsidRPr="00DB6FCD">
        <w:rPr>
          <w:rFonts w:eastAsia="Times New Roman" w:cs="Times New Roman"/>
          <w:b/>
          <w:sz w:val="24"/>
          <w:szCs w:val="24"/>
        </w:rPr>
        <w:t xml:space="preserve">f Out-Of-State Undergraduate Tuition </w:t>
      </w:r>
      <w:r>
        <w:rPr>
          <w:rFonts w:eastAsia="Times New Roman" w:cs="Times New Roman"/>
          <w:b/>
          <w:sz w:val="24"/>
          <w:szCs w:val="24"/>
        </w:rPr>
        <w:t>a</w:t>
      </w:r>
      <w:r w:rsidRPr="00DB6FCD">
        <w:rPr>
          <w:rFonts w:eastAsia="Times New Roman" w:cs="Times New Roman"/>
          <w:b/>
          <w:sz w:val="24"/>
          <w:szCs w:val="24"/>
        </w:rPr>
        <w:t>nd Fee Revenues</w:t>
      </w:r>
    </w:p>
    <w:p w14:paraId="074B51C5" w14:textId="77777777" w:rsidR="00904437" w:rsidRPr="006B2F1D" w:rsidRDefault="00904437" w:rsidP="00B763DF">
      <w:pPr>
        <w:shd w:val="clear" w:color="auto" w:fill="FFFFFF"/>
        <w:spacing w:after="0" w:line="240" w:lineRule="auto"/>
        <w:ind w:left="375"/>
        <w:rPr>
          <w:rFonts w:eastAsia="Times New Roman" w:cs="Times New Roman"/>
          <w:sz w:val="24"/>
          <w:szCs w:val="24"/>
        </w:rPr>
      </w:pPr>
    </w:p>
    <w:p w14:paraId="4B6622AB" w14:textId="77777777" w:rsidR="00BA4301" w:rsidRDefault="00BA4301" w:rsidP="00B763DF">
      <w:pPr>
        <w:numPr>
          <w:ilvl w:val="1"/>
          <w:numId w:val="5"/>
        </w:numPr>
        <w:shd w:val="clear" w:color="auto" w:fill="FFFFFF"/>
        <w:spacing w:after="0" w:line="240" w:lineRule="auto"/>
        <w:ind w:left="720"/>
        <w:rPr>
          <w:rFonts w:eastAsia="Times New Roman" w:cs="Times New Roman"/>
          <w:sz w:val="24"/>
          <w:szCs w:val="24"/>
        </w:rPr>
      </w:pPr>
      <w:r>
        <w:rPr>
          <w:rFonts w:eastAsia="Times New Roman" w:cs="Times New Roman"/>
          <w:sz w:val="24"/>
          <w:szCs w:val="24"/>
        </w:rPr>
        <w:t>General Use</w:t>
      </w:r>
    </w:p>
    <w:p w14:paraId="1CA3AAF0" w14:textId="77777777" w:rsidR="00BA4301" w:rsidRDefault="00BA4301" w:rsidP="00B763DF">
      <w:pPr>
        <w:shd w:val="clear" w:color="auto" w:fill="FFFFFF"/>
        <w:spacing w:after="0" w:line="240" w:lineRule="auto"/>
        <w:rPr>
          <w:rFonts w:eastAsia="Times New Roman" w:cs="Times New Roman"/>
          <w:sz w:val="24"/>
          <w:szCs w:val="24"/>
        </w:rPr>
      </w:pPr>
    </w:p>
    <w:p w14:paraId="55D3D4EA" w14:textId="77777777" w:rsidR="00BA4301" w:rsidRDefault="00BA4301" w:rsidP="00B763DF">
      <w:pPr>
        <w:shd w:val="clear" w:color="auto" w:fill="FFFFFF"/>
        <w:spacing w:after="0" w:line="240" w:lineRule="auto"/>
        <w:ind w:left="750"/>
        <w:rPr>
          <w:rFonts w:eastAsia="Times New Roman" w:cs="Times New Roman"/>
          <w:sz w:val="24"/>
          <w:szCs w:val="24"/>
        </w:rPr>
      </w:pPr>
      <w:r w:rsidRPr="00BA4301">
        <w:rPr>
          <w:rFonts w:eastAsia="Times New Roman" w:cs="Times New Roman"/>
          <w:sz w:val="24"/>
          <w:szCs w:val="24"/>
        </w:rPr>
        <w:t>Revenues generated from out-of-state undergraduate tuition and fees may be used for general institutional purposes, including but not limited to:</w:t>
      </w:r>
    </w:p>
    <w:p w14:paraId="1B456C79" w14:textId="77777777" w:rsidR="00BA4301" w:rsidRPr="00BA4301" w:rsidRDefault="00BA4301" w:rsidP="00B763DF">
      <w:pPr>
        <w:shd w:val="clear" w:color="auto" w:fill="FFFFFF"/>
        <w:spacing w:after="0" w:line="240" w:lineRule="auto"/>
        <w:ind w:left="750"/>
        <w:rPr>
          <w:rFonts w:eastAsia="Times New Roman" w:cs="Times New Roman"/>
          <w:sz w:val="24"/>
          <w:szCs w:val="24"/>
        </w:rPr>
      </w:pPr>
    </w:p>
    <w:p w14:paraId="3A9C07A6" w14:textId="72AC282C" w:rsidR="00BA4301" w:rsidRPr="00BA4301" w:rsidRDefault="00BA4301" w:rsidP="00B763DF">
      <w:pPr>
        <w:pStyle w:val="ListParagraph"/>
        <w:numPr>
          <w:ilvl w:val="0"/>
          <w:numId w:val="7"/>
        </w:numPr>
        <w:shd w:val="clear" w:color="auto" w:fill="FFFFFF"/>
        <w:tabs>
          <w:tab w:val="clear" w:pos="720"/>
        </w:tabs>
        <w:spacing w:after="0" w:line="240" w:lineRule="auto"/>
        <w:ind w:left="1080"/>
        <w:rPr>
          <w:rFonts w:eastAsia="Times New Roman" w:cs="Times New Roman"/>
          <w:sz w:val="24"/>
          <w:szCs w:val="24"/>
        </w:rPr>
      </w:pPr>
      <w:r w:rsidRPr="00BA4301">
        <w:rPr>
          <w:rFonts w:eastAsia="Times New Roman" w:cs="Times New Roman"/>
          <w:sz w:val="24"/>
          <w:szCs w:val="24"/>
        </w:rPr>
        <w:t>Academic instruction and academic support services</w:t>
      </w:r>
      <w:r>
        <w:rPr>
          <w:rFonts w:eastAsia="Times New Roman" w:cs="Times New Roman"/>
          <w:sz w:val="24"/>
          <w:szCs w:val="24"/>
        </w:rPr>
        <w:t>;</w:t>
      </w:r>
    </w:p>
    <w:p w14:paraId="0EDE41B3" w14:textId="518E1C71" w:rsidR="00BA4301" w:rsidRPr="00BA4301" w:rsidRDefault="00BA4301" w:rsidP="00B763DF">
      <w:pPr>
        <w:numPr>
          <w:ilvl w:val="0"/>
          <w:numId w:val="7"/>
        </w:numPr>
        <w:shd w:val="clear" w:color="auto" w:fill="FFFFFF"/>
        <w:tabs>
          <w:tab w:val="clear" w:pos="720"/>
        </w:tabs>
        <w:spacing w:after="0" w:line="240" w:lineRule="auto"/>
        <w:ind w:left="1080"/>
        <w:rPr>
          <w:rFonts w:eastAsia="Times New Roman" w:cs="Times New Roman"/>
          <w:sz w:val="24"/>
          <w:szCs w:val="24"/>
        </w:rPr>
      </w:pPr>
      <w:r w:rsidRPr="00BA4301">
        <w:rPr>
          <w:rFonts w:eastAsia="Times New Roman" w:cs="Times New Roman"/>
          <w:sz w:val="24"/>
          <w:szCs w:val="24"/>
        </w:rPr>
        <w:t>Student services and student success initiatives</w:t>
      </w:r>
      <w:r>
        <w:rPr>
          <w:rFonts w:eastAsia="Times New Roman" w:cs="Times New Roman"/>
          <w:sz w:val="24"/>
          <w:szCs w:val="24"/>
        </w:rPr>
        <w:t>;</w:t>
      </w:r>
    </w:p>
    <w:p w14:paraId="7F8B340F" w14:textId="53E5E9A6" w:rsidR="00BA4301" w:rsidRPr="00BA4301" w:rsidRDefault="00BA4301" w:rsidP="00B763DF">
      <w:pPr>
        <w:numPr>
          <w:ilvl w:val="0"/>
          <w:numId w:val="7"/>
        </w:numPr>
        <w:shd w:val="clear" w:color="auto" w:fill="FFFFFF"/>
        <w:tabs>
          <w:tab w:val="clear" w:pos="720"/>
        </w:tabs>
        <w:spacing w:after="0" w:line="240" w:lineRule="auto"/>
        <w:ind w:left="1080"/>
        <w:rPr>
          <w:rFonts w:eastAsia="Times New Roman" w:cs="Times New Roman"/>
          <w:sz w:val="24"/>
          <w:szCs w:val="24"/>
        </w:rPr>
      </w:pPr>
      <w:r w:rsidRPr="00BA4301">
        <w:rPr>
          <w:rFonts w:eastAsia="Times New Roman" w:cs="Times New Roman"/>
          <w:sz w:val="24"/>
          <w:szCs w:val="24"/>
        </w:rPr>
        <w:t>Faculty and staff compensation and benefits</w:t>
      </w:r>
      <w:r>
        <w:rPr>
          <w:rFonts w:eastAsia="Times New Roman" w:cs="Times New Roman"/>
          <w:sz w:val="24"/>
          <w:szCs w:val="24"/>
        </w:rPr>
        <w:t>;</w:t>
      </w:r>
    </w:p>
    <w:p w14:paraId="1A5920F5" w14:textId="364173E6" w:rsidR="00BA4301" w:rsidRPr="00BA4301" w:rsidRDefault="00BA4301" w:rsidP="00B763DF">
      <w:pPr>
        <w:numPr>
          <w:ilvl w:val="0"/>
          <w:numId w:val="7"/>
        </w:numPr>
        <w:shd w:val="clear" w:color="auto" w:fill="FFFFFF"/>
        <w:tabs>
          <w:tab w:val="clear" w:pos="720"/>
        </w:tabs>
        <w:spacing w:after="0" w:line="240" w:lineRule="auto"/>
        <w:ind w:left="1080"/>
        <w:rPr>
          <w:rFonts w:eastAsia="Times New Roman" w:cs="Times New Roman"/>
          <w:sz w:val="24"/>
          <w:szCs w:val="24"/>
        </w:rPr>
      </w:pPr>
      <w:r w:rsidRPr="00BA4301">
        <w:rPr>
          <w:rFonts w:eastAsia="Times New Roman" w:cs="Times New Roman"/>
          <w:sz w:val="24"/>
          <w:szCs w:val="24"/>
        </w:rPr>
        <w:t>Financial aid and scholarships</w:t>
      </w:r>
      <w:r>
        <w:rPr>
          <w:rFonts w:eastAsia="Times New Roman" w:cs="Times New Roman"/>
          <w:sz w:val="24"/>
          <w:szCs w:val="24"/>
        </w:rPr>
        <w:t>;</w:t>
      </w:r>
    </w:p>
    <w:p w14:paraId="68521411" w14:textId="008C9B59" w:rsidR="00BA4301" w:rsidRPr="00BA4301" w:rsidRDefault="00BA4301" w:rsidP="00B763DF">
      <w:pPr>
        <w:numPr>
          <w:ilvl w:val="0"/>
          <w:numId w:val="7"/>
        </w:numPr>
        <w:shd w:val="clear" w:color="auto" w:fill="FFFFFF"/>
        <w:tabs>
          <w:tab w:val="clear" w:pos="720"/>
        </w:tabs>
        <w:spacing w:after="0" w:line="240" w:lineRule="auto"/>
        <w:ind w:left="1080"/>
        <w:rPr>
          <w:rFonts w:eastAsia="Times New Roman" w:cs="Times New Roman"/>
          <w:sz w:val="24"/>
          <w:szCs w:val="24"/>
        </w:rPr>
      </w:pPr>
      <w:r w:rsidRPr="00BA4301">
        <w:rPr>
          <w:rFonts w:eastAsia="Times New Roman" w:cs="Times New Roman"/>
          <w:sz w:val="24"/>
          <w:szCs w:val="24"/>
        </w:rPr>
        <w:t>Facilities, infrastructure, and technology</w:t>
      </w:r>
      <w:r>
        <w:rPr>
          <w:rFonts w:eastAsia="Times New Roman" w:cs="Times New Roman"/>
          <w:sz w:val="24"/>
          <w:szCs w:val="24"/>
        </w:rPr>
        <w:t>; and</w:t>
      </w:r>
    </w:p>
    <w:p w14:paraId="2FD8D1CE" w14:textId="187C5040" w:rsidR="00BA4301" w:rsidRPr="00BA4301" w:rsidRDefault="00BA4301" w:rsidP="00B763DF">
      <w:pPr>
        <w:numPr>
          <w:ilvl w:val="0"/>
          <w:numId w:val="7"/>
        </w:numPr>
        <w:shd w:val="clear" w:color="auto" w:fill="FFFFFF"/>
        <w:tabs>
          <w:tab w:val="clear" w:pos="720"/>
        </w:tabs>
        <w:spacing w:after="0" w:line="240" w:lineRule="auto"/>
        <w:ind w:left="1080"/>
        <w:rPr>
          <w:rFonts w:eastAsia="Times New Roman" w:cs="Times New Roman"/>
          <w:sz w:val="24"/>
          <w:szCs w:val="24"/>
        </w:rPr>
      </w:pPr>
      <w:r w:rsidRPr="00BA4301">
        <w:rPr>
          <w:rFonts w:eastAsia="Times New Roman" w:cs="Times New Roman"/>
          <w:sz w:val="24"/>
          <w:szCs w:val="24"/>
        </w:rPr>
        <w:t xml:space="preserve">Strategic initiatives approved by the Board </w:t>
      </w:r>
      <w:proofErr w:type="gramStart"/>
      <w:r w:rsidRPr="00BA4301">
        <w:rPr>
          <w:rFonts w:eastAsia="Times New Roman" w:cs="Times New Roman"/>
          <w:sz w:val="24"/>
          <w:szCs w:val="24"/>
        </w:rPr>
        <w:t>or</w:t>
      </w:r>
      <w:proofErr w:type="gramEnd"/>
      <w:r w:rsidRPr="00BA4301">
        <w:rPr>
          <w:rFonts w:eastAsia="Times New Roman" w:cs="Times New Roman"/>
          <w:sz w:val="24"/>
          <w:szCs w:val="24"/>
        </w:rPr>
        <w:t xml:space="preserve"> its </w:t>
      </w:r>
      <w:proofErr w:type="gramStart"/>
      <w:r w:rsidRPr="00BA4301">
        <w:rPr>
          <w:rFonts w:eastAsia="Times New Roman" w:cs="Times New Roman"/>
          <w:sz w:val="24"/>
          <w:szCs w:val="24"/>
        </w:rPr>
        <w:t>designees</w:t>
      </w:r>
      <w:proofErr w:type="gramEnd"/>
      <w:r w:rsidR="00B0413E">
        <w:rPr>
          <w:rFonts w:eastAsia="Times New Roman" w:cs="Times New Roman"/>
          <w:sz w:val="24"/>
          <w:szCs w:val="24"/>
        </w:rPr>
        <w:t>.</w:t>
      </w:r>
    </w:p>
    <w:p w14:paraId="6F6DCBA8" w14:textId="77777777" w:rsidR="00904437" w:rsidRPr="006B2F1D" w:rsidRDefault="00904437" w:rsidP="00904437">
      <w:pPr>
        <w:shd w:val="clear" w:color="auto" w:fill="FFFFFF"/>
        <w:spacing w:after="0" w:line="240" w:lineRule="auto"/>
        <w:ind w:left="750"/>
        <w:rPr>
          <w:rFonts w:eastAsia="Times New Roman" w:cs="Times New Roman"/>
          <w:sz w:val="24"/>
          <w:szCs w:val="24"/>
        </w:rPr>
      </w:pPr>
    </w:p>
    <w:p w14:paraId="4ABCDDFE" w14:textId="610B4C94" w:rsidR="00DB6FCD" w:rsidRDefault="00DB6FCD" w:rsidP="00B0413E">
      <w:pPr>
        <w:pStyle w:val="ListParagraph"/>
        <w:keepNext/>
        <w:numPr>
          <w:ilvl w:val="1"/>
          <w:numId w:val="5"/>
        </w:numPr>
        <w:shd w:val="clear" w:color="auto" w:fill="FFFFFF"/>
        <w:spacing w:after="0" w:line="240" w:lineRule="auto"/>
        <w:ind w:left="720"/>
        <w:rPr>
          <w:rFonts w:eastAsia="Times New Roman" w:cs="Times New Roman"/>
          <w:sz w:val="24"/>
          <w:szCs w:val="24"/>
        </w:rPr>
      </w:pPr>
      <w:r w:rsidRPr="00B0413E">
        <w:rPr>
          <w:rFonts w:eastAsia="Times New Roman" w:cs="Times New Roman"/>
          <w:sz w:val="24"/>
          <w:szCs w:val="24"/>
        </w:rPr>
        <w:lastRenderedPageBreak/>
        <w:t>Mitigation of In-State Undergraduate Costs</w:t>
      </w:r>
    </w:p>
    <w:p w14:paraId="187C837B" w14:textId="77777777" w:rsidR="00B0413E" w:rsidRDefault="00B0413E" w:rsidP="00B0413E">
      <w:pPr>
        <w:pStyle w:val="ListParagraph"/>
        <w:keepNext/>
        <w:shd w:val="clear" w:color="auto" w:fill="FFFFFF"/>
        <w:spacing w:after="0" w:line="240" w:lineRule="auto"/>
        <w:rPr>
          <w:rFonts w:eastAsia="Times New Roman" w:cs="Times New Roman"/>
          <w:sz w:val="24"/>
          <w:szCs w:val="24"/>
        </w:rPr>
      </w:pPr>
    </w:p>
    <w:p w14:paraId="0D679CF1" w14:textId="707D7849" w:rsidR="00B0413E" w:rsidRDefault="00DB6FCD" w:rsidP="00B0413E">
      <w:pPr>
        <w:pStyle w:val="ListParagraph"/>
        <w:keepNext/>
        <w:shd w:val="clear" w:color="auto" w:fill="FFFFFF"/>
        <w:spacing w:after="0" w:line="240" w:lineRule="auto"/>
        <w:rPr>
          <w:rFonts w:eastAsia="Times New Roman" w:cs="Times New Roman"/>
          <w:sz w:val="24"/>
          <w:szCs w:val="24"/>
        </w:rPr>
      </w:pPr>
      <w:r w:rsidRPr="00B0413E">
        <w:rPr>
          <w:rFonts w:eastAsia="Times New Roman" w:cs="Times New Roman"/>
          <w:sz w:val="24"/>
          <w:szCs w:val="24"/>
        </w:rPr>
        <w:t xml:space="preserve">As part of its annual budget and financial planning processes, the University shall consider how revenues derived from out-of-state undergraduate tuition and fees may be utilized to help mitigate tuition and fee costs for in-state undergraduate students, </w:t>
      </w:r>
    </w:p>
    <w:p w14:paraId="4A9D3237" w14:textId="632494A6" w:rsidR="00DB6FCD" w:rsidRDefault="00DB6FCD" w:rsidP="00B0413E">
      <w:pPr>
        <w:pStyle w:val="ListParagraph"/>
        <w:keepNext/>
        <w:shd w:val="clear" w:color="auto" w:fill="FFFFFF"/>
        <w:spacing w:after="0" w:line="240" w:lineRule="auto"/>
        <w:rPr>
          <w:rFonts w:eastAsia="Times New Roman" w:cs="Times New Roman"/>
          <w:sz w:val="24"/>
          <w:szCs w:val="24"/>
        </w:rPr>
      </w:pPr>
      <w:r w:rsidRPr="00B0413E">
        <w:rPr>
          <w:rFonts w:eastAsia="Times New Roman" w:cs="Times New Roman"/>
          <w:sz w:val="24"/>
          <w:szCs w:val="24"/>
        </w:rPr>
        <w:t>which may include, but are not limited to:</w:t>
      </w:r>
    </w:p>
    <w:p w14:paraId="25DEE9FD" w14:textId="77777777" w:rsidR="00B0413E" w:rsidRPr="00B0413E" w:rsidRDefault="00B0413E" w:rsidP="00B0413E">
      <w:pPr>
        <w:pStyle w:val="ListParagraph"/>
        <w:shd w:val="clear" w:color="auto" w:fill="FFFFFF"/>
        <w:spacing w:after="0" w:line="240" w:lineRule="auto"/>
        <w:rPr>
          <w:rFonts w:eastAsia="Times New Roman" w:cs="Times New Roman"/>
          <w:sz w:val="24"/>
          <w:szCs w:val="24"/>
        </w:rPr>
      </w:pPr>
    </w:p>
    <w:p w14:paraId="0B9C32C3" w14:textId="1758B44E" w:rsidR="00DB6FCD" w:rsidRPr="00B0413E" w:rsidRDefault="00DB6FCD" w:rsidP="00B0413E">
      <w:pPr>
        <w:pStyle w:val="ListParagraph"/>
        <w:numPr>
          <w:ilvl w:val="0"/>
          <w:numId w:val="8"/>
        </w:numPr>
        <w:shd w:val="clear" w:color="auto" w:fill="FFFFFF"/>
        <w:tabs>
          <w:tab w:val="clear" w:pos="720"/>
        </w:tabs>
        <w:spacing w:after="0" w:line="240" w:lineRule="auto"/>
        <w:ind w:left="1080"/>
        <w:rPr>
          <w:rFonts w:eastAsia="Times New Roman" w:cs="Times New Roman"/>
          <w:sz w:val="24"/>
          <w:szCs w:val="24"/>
        </w:rPr>
      </w:pPr>
      <w:r w:rsidRPr="00B0413E">
        <w:rPr>
          <w:rFonts w:eastAsia="Times New Roman" w:cs="Times New Roman"/>
          <w:sz w:val="24"/>
          <w:szCs w:val="24"/>
        </w:rPr>
        <w:t>Supporting institutional financial aid or scholarship programs benefiting in-state undergraduate students</w:t>
      </w:r>
      <w:r w:rsidR="00B0413E">
        <w:rPr>
          <w:rFonts w:eastAsia="Times New Roman" w:cs="Times New Roman"/>
          <w:sz w:val="24"/>
          <w:szCs w:val="24"/>
        </w:rPr>
        <w:t>;</w:t>
      </w:r>
    </w:p>
    <w:p w14:paraId="025420F6" w14:textId="4109E063" w:rsidR="00DB6FCD" w:rsidRPr="00DB6FCD" w:rsidRDefault="00DB6FCD" w:rsidP="00B0413E">
      <w:pPr>
        <w:numPr>
          <w:ilvl w:val="0"/>
          <w:numId w:val="8"/>
        </w:numPr>
        <w:shd w:val="clear" w:color="auto" w:fill="FFFFFF"/>
        <w:tabs>
          <w:tab w:val="clear" w:pos="720"/>
        </w:tabs>
        <w:spacing w:after="0" w:line="240" w:lineRule="auto"/>
        <w:ind w:left="1080"/>
        <w:rPr>
          <w:rFonts w:eastAsia="Times New Roman" w:cs="Times New Roman"/>
          <w:sz w:val="24"/>
          <w:szCs w:val="24"/>
        </w:rPr>
      </w:pPr>
      <w:r w:rsidRPr="00DB6FCD">
        <w:rPr>
          <w:rFonts w:eastAsia="Times New Roman" w:cs="Times New Roman"/>
          <w:sz w:val="24"/>
          <w:szCs w:val="24"/>
        </w:rPr>
        <w:t>Reducing the need for tuition or fee increases for in-state undergraduate students</w:t>
      </w:r>
      <w:r w:rsidR="00B0413E">
        <w:rPr>
          <w:rFonts w:eastAsia="Times New Roman" w:cs="Times New Roman"/>
          <w:sz w:val="24"/>
          <w:szCs w:val="24"/>
        </w:rPr>
        <w:t>;</w:t>
      </w:r>
    </w:p>
    <w:p w14:paraId="708120BB" w14:textId="248C69E2" w:rsidR="00DB6FCD" w:rsidRPr="00DB6FCD" w:rsidRDefault="00DB6FCD" w:rsidP="00B0413E">
      <w:pPr>
        <w:numPr>
          <w:ilvl w:val="0"/>
          <w:numId w:val="8"/>
        </w:numPr>
        <w:shd w:val="clear" w:color="auto" w:fill="FFFFFF"/>
        <w:tabs>
          <w:tab w:val="clear" w:pos="720"/>
        </w:tabs>
        <w:spacing w:after="0" w:line="240" w:lineRule="auto"/>
        <w:ind w:left="1080"/>
        <w:rPr>
          <w:rFonts w:eastAsia="Times New Roman" w:cs="Times New Roman"/>
          <w:sz w:val="24"/>
          <w:szCs w:val="24"/>
        </w:rPr>
      </w:pPr>
      <w:r w:rsidRPr="00DB6FCD">
        <w:rPr>
          <w:rFonts w:eastAsia="Times New Roman" w:cs="Times New Roman"/>
          <w:sz w:val="24"/>
          <w:szCs w:val="24"/>
        </w:rPr>
        <w:t>Offsetting instructional or operational costs that would otherwise be borne by in-state tuition and fees</w:t>
      </w:r>
      <w:r w:rsidR="00B0413E">
        <w:rPr>
          <w:rFonts w:eastAsia="Times New Roman" w:cs="Times New Roman"/>
          <w:sz w:val="24"/>
          <w:szCs w:val="24"/>
        </w:rPr>
        <w:t>; and</w:t>
      </w:r>
    </w:p>
    <w:p w14:paraId="24D19BF3" w14:textId="39C6BE38" w:rsidR="00DB6FCD" w:rsidRDefault="00DB6FCD" w:rsidP="00B0413E">
      <w:pPr>
        <w:numPr>
          <w:ilvl w:val="0"/>
          <w:numId w:val="8"/>
        </w:numPr>
        <w:shd w:val="clear" w:color="auto" w:fill="FFFFFF"/>
        <w:tabs>
          <w:tab w:val="clear" w:pos="720"/>
        </w:tabs>
        <w:spacing w:after="0" w:line="240" w:lineRule="auto"/>
        <w:ind w:left="1080"/>
        <w:rPr>
          <w:rFonts w:eastAsia="Times New Roman" w:cs="Times New Roman"/>
          <w:sz w:val="24"/>
          <w:szCs w:val="24"/>
        </w:rPr>
      </w:pPr>
      <w:r w:rsidRPr="00DB6FCD">
        <w:rPr>
          <w:rFonts w:eastAsia="Times New Roman" w:cs="Times New Roman"/>
          <w:sz w:val="24"/>
          <w:szCs w:val="24"/>
        </w:rPr>
        <w:t xml:space="preserve">Investing in efficiencies or cost-saving </w:t>
      </w:r>
      <w:proofErr w:type="gramStart"/>
      <w:r w:rsidRPr="00DB6FCD">
        <w:rPr>
          <w:rFonts w:eastAsia="Times New Roman" w:cs="Times New Roman"/>
          <w:sz w:val="24"/>
          <w:szCs w:val="24"/>
        </w:rPr>
        <w:t>measures that</w:t>
      </w:r>
      <w:proofErr w:type="gramEnd"/>
      <w:r w:rsidRPr="00DB6FCD">
        <w:rPr>
          <w:rFonts w:eastAsia="Times New Roman" w:cs="Times New Roman"/>
          <w:sz w:val="24"/>
          <w:szCs w:val="24"/>
        </w:rPr>
        <w:t xml:space="preserve"> contribute to long-term affordability for in-state students</w:t>
      </w:r>
      <w:r w:rsidR="00B0413E">
        <w:rPr>
          <w:rFonts w:eastAsia="Times New Roman" w:cs="Times New Roman"/>
          <w:sz w:val="24"/>
          <w:szCs w:val="24"/>
        </w:rPr>
        <w:t>.</w:t>
      </w:r>
    </w:p>
    <w:p w14:paraId="4192649E" w14:textId="77777777" w:rsidR="00B0413E" w:rsidRPr="00DB6FCD" w:rsidRDefault="00B0413E" w:rsidP="00B0413E">
      <w:pPr>
        <w:shd w:val="clear" w:color="auto" w:fill="FFFFFF"/>
        <w:spacing w:after="0" w:line="240" w:lineRule="auto"/>
        <w:rPr>
          <w:rFonts w:eastAsia="Times New Roman" w:cs="Times New Roman"/>
          <w:sz w:val="24"/>
          <w:szCs w:val="24"/>
        </w:rPr>
      </w:pPr>
    </w:p>
    <w:p w14:paraId="185886FB" w14:textId="77777777" w:rsidR="00DB6FCD" w:rsidRPr="00DB6FCD" w:rsidRDefault="00DB6FCD" w:rsidP="008E238E">
      <w:pPr>
        <w:shd w:val="clear" w:color="auto" w:fill="FFFFFF"/>
        <w:spacing w:after="0" w:line="240" w:lineRule="auto"/>
        <w:ind w:left="450"/>
        <w:rPr>
          <w:rFonts w:eastAsia="Times New Roman" w:cs="Times New Roman"/>
          <w:sz w:val="24"/>
          <w:szCs w:val="24"/>
        </w:rPr>
      </w:pPr>
      <w:r w:rsidRPr="00DB6FCD">
        <w:rPr>
          <w:rFonts w:eastAsia="Times New Roman" w:cs="Times New Roman"/>
          <w:sz w:val="24"/>
          <w:szCs w:val="24"/>
        </w:rPr>
        <w:t>No specific percentage or dollar amount of out-of-state tuition and fee revenues is required to be allocated for these purposes unless otherwise directed by the Board.</w:t>
      </w:r>
    </w:p>
    <w:p w14:paraId="3802FE27" w14:textId="77777777" w:rsidR="00DB6FCD" w:rsidRDefault="00DB6FCD" w:rsidP="00DB6FCD">
      <w:pPr>
        <w:shd w:val="clear" w:color="auto" w:fill="FFFFFF"/>
        <w:spacing w:after="0" w:line="240" w:lineRule="auto"/>
        <w:rPr>
          <w:rFonts w:eastAsia="Times New Roman" w:cs="Times New Roman"/>
          <w:sz w:val="24"/>
          <w:szCs w:val="24"/>
        </w:rPr>
      </w:pPr>
    </w:p>
    <w:p w14:paraId="3C9F08D4" w14:textId="763F84AB" w:rsidR="00CF6BF5" w:rsidRPr="006B2F1D" w:rsidRDefault="00DB6FCD" w:rsidP="002519D7">
      <w:pPr>
        <w:numPr>
          <w:ilvl w:val="0"/>
          <w:numId w:val="5"/>
        </w:numPr>
        <w:shd w:val="clear" w:color="auto" w:fill="FFFFFF"/>
        <w:spacing w:after="0" w:line="240" w:lineRule="auto"/>
        <w:rPr>
          <w:rFonts w:eastAsia="Times New Roman" w:cs="Times New Roman"/>
          <w:b/>
          <w:sz w:val="24"/>
          <w:szCs w:val="24"/>
        </w:rPr>
      </w:pPr>
      <w:r>
        <w:rPr>
          <w:rFonts w:eastAsia="Times New Roman" w:cs="Times New Roman"/>
          <w:b/>
          <w:sz w:val="24"/>
          <w:szCs w:val="24"/>
        </w:rPr>
        <w:t>Operational Provisions</w:t>
      </w:r>
    </w:p>
    <w:p w14:paraId="3C2276D2" w14:textId="77777777" w:rsidR="00904437" w:rsidRPr="006B2F1D" w:rsidRDefault="00904437" w:rsidP="00904437">
      <w:pPr>
        <w:shd w:val="clear" w:color="auto" w:fill="FFFFFF"/>
        <w:spacing w:after="0" w:line="240" w:lineRule="auto"/>
        <w:ind w:left="375"/>
        <w:rPr>
          <w:rFonts w:eastAsia="Times New Roman" w:cs="Times New Roman"/>
          <w:sz w:val="24"/>
          <w:szCs w:val="24"/>
        </w:rPr>
      </w:pPr>
    </w:p>
    <w:p w14:paraId="40089939" w14:textId="0D30741A" w:rsidR="00CF6BF5" w:rsidRPr="006B2F1D" w:rsidRDefault="00DB6FCD" w:rsidP="00DB6FCD">
      <w:pPr>
        <w:shd w:val="clear" w:color="auto" w:fill="FFFFFF"/>
        <w:spacing w:after="0" w:line="240" w:lineRule="auto"/>
        <w:rPr>
          <w:rFonts w:eastAsia="Times New Roman" w:cs="Times New Roman"/>
          <w:sz w:val="24"/>
          <w:szCs w:val="24"/>
        </w:rPr>
      </w:pPr>
      <w:r w:rsidRPr="00DB6FCD">
        <w:rPr>
          <w:rFonts w:eastAsia="Times New Roman" w:cs="Times New Roman"/>
          <w:sz w:val="24"/>
          <w:szCs w:val="24"/>
        </w:rPr>
        <w:t>The President, or designee, shall be responsible for the administration of this policy and for ensuring implementation consistent with applicable law.</w:t>
      </w:r>
    </w:p>
    <w:p w14:paraId="1D65EDB2" w14:textId="77777777" w:rsidR="00782EC8" w:rsidRPr="006B2F1D" w:rsidRDefault="00782EC8" w:rsidP="00DB6FCD">
      <w:pPr>
        <w:shd w:val="clear" w:color="auto" w:fill="FFFFFF"/>
        <w:spacing w:after="0" w:line="240" w:lineRule="auto"/>
        <w:rPr>
          <w:rFonts w:eastAsia="Times New Roman" w:cs="Times New Roman"/>
          <w:sz w:val="24"/>
          <w:szCs w:val="24"/>
        </w:rPr>
      </w:pPr>
    </w:p>
    <w:p w14:paraId="6A5C8401" w14:textId="77777777" w:rsidR="00782EC8" w:rsidRPr="00782EC8" w:rsidRDefault="00782EC8" w:rsidP="00782EC8">
      <w:pPr>
        <w:rPr>
          <w:sz w:val="24"/>
        </w:rPr>
      </w:pPr>
      <w:r w:rsidRPr="00782EC8">
        <w:rPr>
          <w:sz w:val="24"/>
        </w:rPr>
        <w:t>Forms: none.</w:t>
      </w:r>
    </w:p>
    <w:p w14:paraId="7A40F8FF" w14:textId="33F9200D" w:rsidR="00782EC8" w:rsidRDefault="00782EC8" w:rsidP="00782EC8">
      <w:pPr>
        <w:rPr>
          <w:sz w:val="24"/>
        </w:rPr>
      </w:pPr>
      <w:r w:rsidRPr="00782EC8">
        <w:rPr>
          <w:sz w:val="24"/>
        </w:rPr>
        <w:t xml:space="preserve">Revisions: </w:t>
      </w:r>
      <w:r w:rsidR="001E6DAA">
        <w:rPr>
          <w:sz w:val="24"/>
        </w:rPr>
        <w:t>none.</w:t>
      </w:r>
    </w:p>
    <w:p w14:paraId="299D384A" w14:textId="75FE4074" w:rsidR="005C2491" w:rsidRPr="00782EC8" w:rsidRDefault="005C2491" w:rsidP="00782EC8">
      <w:pPr>
        <w:rPr>
          <w:sz w:val="24"/>
        </w:rPr>
      </w:pPr>
      <w:r>
        <w:rPr>
          <w:sz w:val="24"/>
        </w:rPr>
        <w:t xml:space="preserve">Last Reviewed: </w:t>
      </w:r>
      <w:r w:rsidR="001E6DAA">
        <w:rPr>
          <w:sz w:val="24"/>
        </w:rPr>
        <w:t>none.</w:t>
      </w:r>
    </w:p>
    <w:p w14:paraId="0F8526DC" w14:textId="22C59D96" w:rsidR="00904437" w:rsidRPr="00CF6BF5" w:rsidRDefault="00782EC8" w:rsidP="001E6DAA">
      <w:pPr>
        <w:rPr>
          <w:rFonts w:ascii="Times New Roman" w:eastAsia="Times New Roman" w:hAnsi="Times New Roman" w:cs="Times New Roman"/>
          <w:sz w:val="24"/>
          <w:szCs w:val="24"/>
        </w:rPr>
      </w:pPr>
      <w:r w:rsidRPr="00782EC8">
        <w:rPr>
          <w:sz w:val="24"/>
        </w:rPr>
        <w:t xml:space="preserve">References: </w:t>
      </w:r>
      <w:r w:rsidR="001E6DAA" w:rsidRPr="001E6DAA">
        <w:rPr>
          <w:sz w:val="24"/>
        </w:rPr>
        <w:t>2026 Public Acts, Chapter</w:t>
      </w:r>
      <w:r w:rsidR="007F7B69">
        <w:rPr>
          <w:sz w:val="24"/>
        </w:rPr>
        <w:t xml:space="preserve"> 799</w:t>
      </w:r>
      <w:r w:rsidRPr="00782EC8">
        <w:rPr>
          <w:sz w:val="24"/>
        </w:rPr>
        <w:t>.</w:t>
      </w:r>
    </w:p>
    <w:sectPr w:rsidR="00904437" w:rsidRPr="00CF6B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57B0" w14:textId="77777777" w:rsidR="00331A92" w:rsidRDefault="00331A92" w:rsidP="00904437">
      <w:pPr>
        <w:spacing w:after="0" w:line="240" w:lineRule="auto"/>
      </w:pPr>
      <w:r>
        <w:separator/>
      </w:r>
    </w:p>
  </w:endnote>
  <w:endnote w:type="continuationSeparator" w:id="0">
    <w:p w14:paraId="1441DCE7" w14:textId="77777777" w:rsidR="00331A92" w:rsidRDefault="00331A92" w:rsidP="00904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2FA2" w14:textId="77777777" w:rsidR="00331A92" w:rsidRDefault="00331A92" w:rsidP="00904437">
      <w:pPr>
        <w:spacing w:after="0" w:line="240" w:lineRule="auto"/>
      </w:pPr>
      <w:r>
        <w:separator/>
      </w:r>
    </w:p>
  </w:footnote>
  <w:footnote w:type="continuationSeparator" w:id="0">
    <w:p w14:paraId="2CA545B4" w14:textId="77777777" w:rsidR="00331A92" w:rsidRDefault="00331A92" w:rsidP="00904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18336367"/>
      <w:docPartObj>
        <w:docPartGallery w:val="Page Numbers (Top of Page)"/>
        <w:docPartUnique/>
      </w:docPartObj>
    </w:sdtPr>
    <w:sdtEndPr/>
    <w:sdtContent>
      <w:p w14:paraId="3EE3C0F2" w14:textId="77777777" w:rsidR="00904437" w:rsidRPr="00904437" w:rsidRDefault="00904437">
        <w:pPr>
          <w:pStyle w:val="Header"/>
          <w:jc w:val="right"/>
          <w:rPr>
            <w:sz w:val="24"/>
            <w:szCs w:val="24"/>
          </w:rPr>
        </w:pPr>
        <w:r w:rsidRPr="00904437">
          <w:rPr>
            <w:sz w:val="24"/>
            <w:szCs w:val="24"/>
          </w:rPr>
          <w:t xml:space="preserve">Page </w:t>
        </w:r>
        <w:r w:rsidRPr="00904437">
          <w:rPr>
            <w:b/>
            <w:bCs/>
            <w:sz w:val="24"/>
            <w:szCs w:val="24"/>
          </w:rPr>
          <w:fldChar w:fldCharType="begin"/>
        </w:r>
        <w:r w:rsidRPr="00904437">
          <w:rPr>
            <w:b/>
            <w:bCs/>
            <w:sz w:val="24"/>
            <w:szCs w:val="24"/>
          </w:rPr>
          <w:instrText xml:space="preserve"> PAGE </w:instrText>
        </w:r>
        <w:r w:rsidRPr="00904437">
          <w:rPr>
            <w:b/>
            <w:bCs/>
            <w:sz w:val="24"/>
            <w:szCs w:val="24"/>
          </w:rPr>
          <w:fldChar w:fldCharType="separate"/>
        </w:r>
        <w:r w:rsidR="005C2491">
          <w:rPr>
            <w:b/>
            <w:bCs/>
            <w:noProof/>
            <w:sz w:val="24"/>
            <w:szCs w:val="24"/>
          </w:rPr>
          <w:t>2</w:t>
        </w:r>
        <w:r w:rsidRPr="00904437">
          <w:rPr>
            <w:b/>
            <w:bCs/>
            <w:sz w:val="24"/>
            <w:szCs w:val="24"/>
          </w:rPr>
          <w:fldChar w:fldCharType="end"/>
        </w:r>
        <w:r w:rsidRPr="00904437">
          <w:rPr>
            <w:sz w:val="24"/>
            <w:szCs w:val="24"/>
          </w:rPr>
          <w:t xml:space="preserve"> of </w:t>
        </w:r>
        <w:r w:rsidRPr="00904437">
          <w:rPr>
            <w:b/>
            <w:bCs/>
            <w:sz w:val="24"/>
            <w:szCs w:val="24"/>
          </w:rPr>
          <w:fldChar w:fldCharType="begin"/>
        </w:r>
        <w:r w:rsidRPr="00904437">
          <w:rPr>
            <w:b/>
            <w:bCs/>
            <w:sz w:val="24"/>
            <w:szCs w:val="24"/>
          </w:rPr>
          <w:instrText xml:space="preserve"> NUMPAGES  </w:instrText>
        </w:r>
        <w:r w:rsidRPr="00904437">
          <w:rPr>
            <w:b/>
            <w:bCs/>
            <w:sz w:val="24"/>
            <w:szCs w:val="24"/>
          </w:rPr>
          <w:fldChar w:fldCharType="separate"/>
        </w:r>
        <w:r w:rsidR="005C2491">
          <w:rPr>
            <w:b/>
            <w:bCs/>
            <w:noProof/>
            <w:sz w:val="24"/>
            <w:szCs w:val="24"/>
          </w:rPr>
          <w:t>2</w:t>
        </w:r>
        <w:r w:rsidRPr="00904437">
          <w:rPr>
            <w:b/>
            <w:bCs/>
            <w:sz w:val="24"/>
            <w:szCs w:val="24"/>
          </w:rPr>
          <w:fldChar w:fldCharType="end"/>
        </w:r>
      </w:p>
    </w:sdtContent>
  </w:sdt>
  <w:p w14:paraId="426DE519" w14:textId="77777777" w:rsidR="00904437" w:rsidRDefault="0090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23B"/>
    <w:multiLevelType w:val="hybridMultilevel"/>
    <w:tmpl w:val="FAE6D41E"/>
    <w:lvl w:ilvl="0" w:tplc="25DE3CBC">
      <w:start w:val="1"/>
      <w:numFmt w:val="upperRoman"/>
      <w:suff w:val="space"/>
      <w:lvlText w:val="%1."/>
      <w:lvlJc w:val="left"/>
      <w:pPr>
        <w:ind w:left="1080" w:hanging="1080"/>
      </w:pPr>
      <w:rPr>
        <w:rFonts w:hint="default"/>
        <w:b/>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B3F79"/>
    <w:multiLevelType w:val="hybridMultilevel"/>
    <w:tmpl w:val="849E2D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C522A4"/>
    <w:multiLevelType w:val="multilevel"/>
    <w:tmpl w:val="67B8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C37DA"/>
    <w:multiLevelType w:val="multilevel"/>
    <w:tmpl w:val="817E55D4"/>
    <w:lvl w:ilvl="0">
      <w:start w:val="1"/>
      <w:numFmt w:val="decimal"/>
      <w:lvlText w:val="%1."/>
      <w:lvlJc w:val="left"/>
      <w:pPr>
        <w:tabs>
          <w:tab w:val="num" w:pos="720"/>
        </w:tabs>
        <w:ind w:left="720" w:hanging="360"/>
      </w:pPr>
      <w:rPr>
        <w:rFonts w:asciiTheme="minorHAnsi" w:eastAsia="Times New Roman" w:hAnsiTheme="minorHAnsi"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67D00"/>
    <w:multiLevelType w:val="multilevel"/>
    <w:tmpl w:val="527CB568"/>
    <w:lvl w:ilvl="0">
      <w:start w:val="1"/>
      <w:numFmt w:val="decimal"/>
      <w:lvlText w:val="%1."/>
      <w:lvlJc w:val="left"/>
      <w:pPr>
        <w:tabs>
          <w:tab w:val="num" w:pos="720"/>
        </w:tabs>
        <w:ind w:left="720" w:hanging="360"/>
      </w:pPr>
      <w:rPr>
        <w:rFonts w:asciiTheme="minorHAnsi" w:eastAsia="Times New Roman" w:hAnsiTheme="minorHAnsi"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5271A"/>
    <w:multiLevelType w:val="hybridMultilevel"/>
    <w:tmpl w:val="7FB85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668B1"/>
    <w:multiLevelType w:val="multilevel"/>
    <w:tmpl w:val="1BD8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947CD"/>
    <w:multiLevelType w:val="multilevel"/>
    <w:tmpl w:val="361A13FE"/>
    <w:lvl w:ilvl="0">
      <w:start w:val="1"/>
      <w:numFmt w:val="upperLetter"/>
      <w:suff w:val="space"/>
      <w:lvlText w:val="%1."/>
      <w:lvlJc w:val="left"/>
      <w:pPr>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Letter"/>
      <w:suff w:val="space"/>
      <w:lvlText w:val="%3."/>
      <w:lvlJc w:val="left"/>
      <w:pPr>
        <w:ind w:left="2160" w:hanging="360"/>
      </w:pPr>
      <w:rPr>
        <w:rFonts w:hint="default"/>
      </w:rPr>
    </w:lvl>
    <w:lvl w:ilvl="3">
      <w:start w:val="1"/>
      <w:numFmt w:val="decimal"/>
      <w:suff w:val="space"/>
      <w:lvlText w:val="(%4)"/>
      <w:lvlJc w:val="left"/>
      <w:pPr>
        <w:ind w:left="2880" w:hanging="360"/>
      </w:pPr>
      <w:rPr>
        <w:rFonts w:ascii="Times New Roman" w:eastAsia="Times New Roman" w:hAnsi="Times New Roman" w:cs="Times New Roman"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8" w15:restartNumberingAfterBreak="0">
    <w:nsid w:val="66F4694C"/>
    <w:multiLevelType w:val="multilevel"/>
    <w:tmpl w:val="A9FE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017630">
    <w:abstractNumId w:val="2"/>
  </w:num>
  <w:num w:numId="2" w16cid:durableId="968971991">
    <w:abstractNumId w:val="6"/>
  </w:num>
  <w:num w:numId="3" w16cid:durableId="308749759">
    <w:abstractNumId w:val="8"/>
  </w:num>
  <w:num w:numId="4" w16cid:durableId="1077090632">
    <w:abstractNumId w:val="7"/>
  </w:num>
  <w:num w:numId="5" w16cid:durableId="1679035581">
    <w:abstractNumId w:val="0"/>
  </w:num>
  <w:num w:numId="6" w16cid:durableId="2015841930">
    <w:abstractNumId w:val="5"/>
  </w:num>
  <w:num w:numId="7" w16cid:durableId="1460957929">
    <w:abstractNumId w:val="4"/>
  </w:num>
  <w:num w:numId="8" w16cid:durableId="1426152033">
    <w:abstractNumId w:val="3"/>
  </w:num>
  <w:num w:numId="9" w16cid:durableId="1554190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F5"/>
    <w:rsid w:val="00080644"/>
    <w:rsid w:val="000D79D0"/>
    <w:rsid w:val="00120F17"/>
    <w:rsid w:val="00174032"/>
    <w:rsid w:val="001B2994"/>
    <w:rsid w:val="001E6DAA"/>
    <w:rsid w:val="001F0A6B"/>
    <w:rsid w:val="00232CF8"/>
    <w:rsid w:val="002519D7"/>
    <w:rsid w:val="00264501"/>
    <w:rsid w:val="00322BA6"/>
    <w:rsid w:val="00327A75"/>
    <w:rsid w:val="00331A92"/>
    <w:rsid w:val="0043259B"/>
    <w:rsid w:val="004741CC"/>
    <w:rsid w:val="00484FB7"/>
    <w:rsid w:val="004D048A"/>
    <w:rsid w:val="005747E4"/>
    <w:rsid w:val="005B6132"/>
    <w:rsid w:val="005C2491"/>
    <w:rsid w:val="00673A2A"/>
    <w:rsid w:val="006A7B22"/>
    <w:rsid w:val="006B2F1D"/>
    <w:rsid w:val="006D04C8"/>
    <w:rsid w:val="0073616D"/>
    <w:rsid w:val="00782EC8"/>
    <w:rsid w:val="00792095"/>
    <w:rsid w:val="007A37EB"/>
    <w:rsid w:val="007D38BB"/>
    <w:rsid w:val="007D41CC"/>
    <w:rsid w:val="007F7B69"/>
    <w:rsid w:val="00800F87"/>
    <w:rsid w:val="008D287D"/>
    <w:rsid w:val="008E238E"/>
    <w:rsid w:val="00904437"/>
    <w:rsid w:val="009144B7"/>
    <w:rsid w:val="009A15FB"/>
    <w:rsid w:val="00A52320"/>
    <w:rsid w:val="00A66EAE"/>
    <w:rsid w:val="00A9096F"/>
    <w:rsid w:val="00AC3614"/>
    <w:rsid w:val="00B0413E"/>
    <w:rsid w:val="00B130A8"/>
    <w:rsid w:val="00B17F19"/>
    <w:rsid w:val="00B70323"/>
    <w:rsid w:val="00B749FC"/>
    <w:rsid w:val="00B763DF"/>
    <w:rsid w:val="00BA4301"/>
    <w:rsid w:val="00C36106"/>
    <w:rsid w:val="00C91B2A"/>
    <w:rsid w:val="00CF6BF5"/>
    <w:rsid w:val="00DB6FCD"/>
    <w:rsid w:val="00E1697B"/>
    <w:rsid w:val="00E4210D"/>
    <w:rsid w:val="00E71BD3"/>
    <w:rsid w:val="00E93B05"/>
    <w:rsid w:val="00F70EF6"/>
    <w:rsid w:val="00F96C4C"/>
    <w:rsid w:val="00F97CDE"/>
    <w:rsid w:val="00FB1515"/>
    <w:rsid w:val="00FE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726D"/>
  <w15:chartTrackingRefBased/>
  <w15:docId w15:val="{06BB493C-ABB2-4572-A32A-F53AAF98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F6B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6B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B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6BF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F6BF5"/>
    <w:rPr>
      <w:color w:val="0000FF"/>
      <w:u w:val="single"/>
    </w:rPr>
  </w:style>
  <w:style w:type="character" w:styleId="Strong">
    <w:name w:val="Strong"/>
    <w:basedOn w:val="DefaultParagraphFont"/>
    <w:uiPriority w:val="22"/>
    <w:qFormat/>
    <w:rsid w:val="00CF6BF5"/>
    <w:rPr>
      <w:b/>
      <w:bCs/>
    </w:rPr>
  </w:style>
  <w:style w:type="character" w:customStyle="1" w:styleId="element-invisible">
    <w:name w:val="element-invisible"/>
    <w:basedOn w:val="DefaultParagraphFont"/>
    <w:rsid w:val="00CF6BF5"/>
  </w:style>
  <w:style w:type="paragraph" w:styleId="NormalWeb">
    <w:name w:val="Normal (Web)"/>
    <w:basedOn w:val="Normal"/>
    <w:uiPriority w:val="99"/>
    <w:semiHidden/>
    <w:unhideWhenUsed/>
    <w:rsid w:val="00CF6B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0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48A"/>
    <w:rPr>
      <w:rFonts w:ascii="Segoe UI" w:hAnsi="Segoe UI" w:cs="Segoe UI"/>
      <w:sz w:val="18"/>
      <w:szCs w:val="18"/>
    </w:rPr>
  </w:style>
  <w:style w:type="paragraph" w:styleId="ListParagraph">
    <w:name w:val="List Paragraph"/>
    <w:basedOn w:val="Normal"/>
    <w:uiPriority w:val="34"/>
    <w:qFormat/>
    <w:rsid w:val="004D048A"/>
    <w:pPr>
      <w:ind w:left="720"/>
      <w:contextualSpacing/>
    </w:pPr>
  </w:style>
  <w:style w:type="paragraph" w:styleId="Header">
    <w:name w:val="header"/>
    <w:basedOn w:val="Normal"/>
    <w:link w:val="HeaderChar"/>
    <w:uiPriority w:val="99"/>
    <w:unhideWhenUsed/>
    <w:rsid w:val="00904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437"/>
  </w:style>
  <w:style w:type="paragraph" w:styleId="Footer">
    <w:name w:val="footer"/>
    <w:basedOn w:val="Normal"/>
    <w:link w:val="FooterChar"/>
    <w:uiPriority w:val="99"/>
    <w:unhideWhenUsed/>
    <w:rsid w:val="00904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437"/>
  </w:style>
  <w:style w:type="paragraph" w:styleId="Revision">
    <w:name w:val="Revision"/>
    <w:hidden/>
    <w:uiPriority w:val="99"/>
    <w:semiHidden/>
    <w:rsid w:val="00E71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167626">
      <w:bodyDiv w:val="1"/>
      <w:marLeft w:val="0"/>
      <w:marRight w:val="0"/>
      <w:marTop w:val="0"/>
      <w:marBottom w:val="0"/>
      <w:divBdr>
        <w:top w:val="none" w:sz="0" w:space="0" w:color="auto"/>
        <w:left w:val="none" w:sz="0" w:space="0" w:color="auto"/>
        <w:bottom w:val="none" w:sz="0" w:space="0" w:color="auto"/>
        <w:right w:val="none" w:sz="0" w:space="0" w:color="auto"/>
      </w:divBdr>
      <w:divsChild>
        <w:div w:id="563957171">
          <w:marLeft w:val="0"/>
          <w:marRight w:val="0"/>
          <w:marTop w:val="0"/>
          <w:marBottom w:val="0"/>
          <w:divBdr>
            <w:top w:val="none" w:sz="0" w:space="0" w:color="auto"/>
            <w:left w:val="none" w:sz="0" w:space="0" w:color="auto"/>
            <w:bottom w:val="none" w:sz="0" w:space="0" w:color="auto"/>
            <w:right w:val="none" w:sz="0" w:space="0" w:color="auto"/>
          </w:divBdr>
        </w:div>
        <w:div w:id="1208833130">
          <w:marLeft w:val="0"/>
          <w:marRight w:val="0"/>
          <w:marTop w:val="0"/>
          <w:marBottom w:val="0"/>
          <w:divBdr>
            <w:top w:val="none" w:sz="0" w:space="0" w:color="auto"/>
            <w:left w:val="none" w:sz="0" w:space="0" w:color="auto"/>
            <w:bottom w:val="none" w:sz="0" w:space="0" w:color="auto"/>
            <w:right w:val="none" w:sz="0" w:space="0" w:color="auto"/>
          </w:divBdr>
          <w:divsChild>
            <w:div w:id="190337832">
              <w:marLeft w:val="0"/>
              <w:marRight w:val="0"/>
              <w:marTop w:val="0"/>
              <w:marBottom w:val="0"/>
              <w:divBdr>
                <w:top w:val="none" w:sz="0" w:space="0" w:color="auto"/>
                <w:left w:val="none" w:sz="0" w:space="0" w:color="auto"/>
                <w:bottom w:val="none" w:sz="0" w:space="0" w:color="auto"/>
                <w:right w:val="none" w:sz="0" w:space="0" w:color="auto"/>
              </w:divBdr>
              <w:divsChild>
                <w:div w:id="76439479">
                  <w:marLeft w:val="0"/>
                  <w:marRight w:val="0"/>
                  <w:marTop w:val="0"/>
                  <w:marBottom w:val="0"/>
                  <w:divBdr>
                    <w:top w:val="none" w:sz="0" w:space="0" w:color="auto"/>
                    <w:left w:val="none" w:sz="0" w:space="0" w:color="auto"/>
                    <w:bottom w:val="none" w:sz="0" w:space="0" w:color="auto"/>
                    <w:right w:val="none" w:sz="0" w:space="0" w:color="auto"/>
                  </w:divBdr>
                  <w:divsChild>
                    <w:div w:id="652610301">
                      <w:marLeft w:val="0"/>
                      <w:marRight w:val="0"/>
                      <w:marTop w:val="0"/>
                      <w:marBottom w:val="0"/>
                      <w:divBdr>
                        <w:top w:val="none" w:sz="0" w:space="0" w:color="auto"/>
                        <w:left w:val="none" w:sz="0" w:space="0" w:color="auto"/>
                        <w:bottom w:val="none" w:sz="0" w:space="0" w:color="auto"/>
                        <w:right w:val="none" w:sz="0" w:space="0" w:color="auto"/>
                      </w:divBdr>
                      <w:divsChild>
                        <w:div w:id="1890261595">
                          <w:marLeft w:val="0"/>
                          <w:marRight w:val="0"/>
                          <w:marTop w:val="0"/>
                          <w:marBottom w:val="0"/>
                          <w:divBdr>
                            <w:top w:val="none" w:sz="0" w:space="0" w:color="auto"/>
                            <w:left w:val="none" w:sz="0" w:space="0" w:color="auto"/>
                            <w:bottom w:val="none" w:sz="0" w:space="0" w:color="auto"/>
                            <w:right w:val="none" w:sz="0" w:space="0" w:color="auto"/>
                          </w:divBdr>
                          <w:divsChild>
                            <w:div w:id="1639988098">
                              <w:marLeft w:val="0"/>
                              <w:marRight w:val="0"/>
                              <w:marTop w:val="0"/>
                              <w:marBottom w:val="0"/>
                              <w:divBdr>
                                <w:top w:val="none" w:sz="0" w:space="0" w:color="auto"/>
                                <w:left w:val="none" w:sz="0" w:space="0" w:color="auto"/>
                                <w:bottom w:val="none" w:sz="0" w:space="0" w:color="auto"/>
                                <w:right w:val="none" w:sz="0" w:space="0" w:color="auto"/>
                              </w:divBdr>
                              <w:divsChild>
                                <w:div w:id="1834177866">
                                  <w:marLeft w:val="0"/>
                                  <w:marRight w:val="0"/>
                                  <w:marTop w:val="0"/>
                                  <w:marBottom w:val="240"/>
                                  <w:divBdr>
                                    <w:top w:val="none" w:sz="0" w:space="0" w:color="auto"/>
                                    <w:left w:val="none" w:sz="0" w:space="0" w:color="auto"/>
                                    <w:bottom w:val="single" w:sz="18" w:space="0" w:color="EAEAEA"/>
                                    <w:right w:val="none" w:sz="0" w:space="0" w:color="auto"/>
                                  </w:divBdr>
                                </w:div>
                                <w:div w:id="1707363716">
                                  <w:marLeft w:val="0"/>
                                  <w:marRight w:val="0"/>
                                  <w:marTop w:val="0"/>
                                  <w:marBottom w:val="240"/>
                                  <w:divBdr>
                                    <w:top w:val="single" w:sz="6" w:space="0" w:color="CCCCCC"/>
                                    <w:left w:val="single" w:sz="6" w:space="0" w:color="CCCCCC"/>
                                    <w:bottom w:val="single" w:sz="6" w:space="0" w:color="CCCCCC"/>
                                    <w:right w:val="single" w:sz="6" w:space="0" w:color="CCCCCC"/>
                                  </w:divBdr>
                                  <w:divsChild>
                                    <w:div w:id="2029599577">
                                      <w:marLeft w:val="0"/>
                                      <w:marRight w:val="0"/>
                                      <w:marTop w:val="0"/>
                                      <w:marBottom w:val="0"/>
                                      <w:divBdr>
                                        <w:top w:val="none" w:sz="0" w:space="0" w:color="auto"/>
                                        <w:left w:val="none" w:sz="0" w:space="0" w:color="auto"/>
                                        <w:bottom w:val="none" w:sz="0" w:space="0" w:color="auto"/>
                                        <w:right w:val="none" w:sz="0" w:space="0" w:color="auto"/>
                                      </w:divBdr>
                                      <w:divsChild>
                                        <w:div w:id="822697249">
                                          <w:marLeft w:val="0"/>
                                          <w:marRight w:val="0"/>
                                          <w:marTop w:val="0"/>
                                          <w:marBottom w:val="0"/>
                                          <w:divBdr>
                                            <w:top w:val="none" w:sz="0" w:space="0" w:color="auto"/>
                                            <w:left w:val="none" w:sz="0" w:space="0" w:color="auto"/>
                                            <w:bottom w:val="none" w:sz="0" w:space="0" w:color="auto"/>
                                            <w:right w:val="none" w:sz="0" w:space="0" w:color="auto"/>
                                          </w:divBdr>
                                          <w:divsChild>
                                            <w:div w:id="1123187281">
                                              <w:marLeft w:val="0"/>
                                              <w:marRight w:val="0"/>
                                              <w:marTop w:val="0"/>
                                              <w:marBottom w:val="150"/>
                                              <w:divBdr>
                                                <w:top w:val="none" w:sz="0" w:space="0" w:color="auto"/>
                                                <w:left w:val="none" w:sz="0" w:space="0" w:color="auto"/>
                                                <w:bottom w:val="none" w:sz="0" w:space="0" w:color="auto"/>
                                                <w:right w:val="none" w:sz="0" w:space="0" w:color="auto"/>
                                              </w:divBdr>
                                            </w:div>
                                          </w:divsChild>
                                        </w:div>
                                        <w:div w:id="144396981">
                                          <w:marLeft w:val="0"/>
                                          <w:marRight w:val="0"/>
                                          <w:marTop w:val="0"/>
                                          <w:marBottom w:val="0"/>
                                          <w:divBdr>
                                            <w:top w:val="none" w:sz="0" w:space="0" w:color="auto"/>
                                            <w:left w:val="none" w:sz="0" w:space="0" w:color="auto"/>
                                            <w:bottom w:val="none" w:sz="0" w:space="0" w:color="auto"/>
                                            <w:right w:val="none" w:sz="0" w:space="0" w:color="auto"/>
                                          </w:divBdr>
                                          <w:divsChild>
                                            <w:div w:id="1892572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0352560">
                              <w:marLeft w:val="0"/>
                              <w:marRight w:val="0"/>
                              <w:marTop w:val="0"/>
                              <w:marBottom w:val="240"/>
                              <w:divBdr>
                                <w:top w:val="none" w:sz="0" w:space="0" w:color="auto"/>
                                <w:left w:val="none" w:sz="0" w:space="0" w:color="auto"/>
                                <w:bottom w:val="single" w:sz="18" w:space="0" w:color="EAEAEA"/>
                                <w:right w:val="none" w:sz="0" w:space="0" w:color="auto"/>
                              </w:divBdr>
                            </w:div>
                            <w:div w:id="1247568702">
                              <w:marLeft w:val="0"/>
                              <w:marRight w:val="0"/>
                              <w:marTop w:val="0"/>
                              <w:marBottom w:val="240"/>
                              <w:divBdr>
                                <w:top w:val="none" w:sz="0" w:space="0" w:color="auto"/>
                                <w:left w:val="none" w:sz="0" w:space="0" w:color="auto"/>
                                <w:bottom w:val="single" w:sz="18" w:space="0" w:color="EAEAEA"/>
                                <w:right w:val="none" w:sz="0" w:space="0" w:color="auto"/>
                              </w:divBdr>
                            </w:div>
                            <w:div w:id="1642734646">
                              <w:marLeft w:val="0"/>
                              <w:marRight w:val="0"/>
                              <w:marTop w:val="0"/>
                              <w:marBottom w:val="240"/>
                              <w:divBdr>
                                <w:top w:val="none" w:sz="0" w:space="0" w:color="auto"/>
                                <w:left w:val="none" w:sz="0" w:space="0" w:color="auto"/>
                                <w:bottom w:val="single" w:sz="18" w:space="0" w:color="EAEAEA"/>
                                <w:right w:val="none" w:sz="0" w:space="0" w:color="auto"/>
                              </w:divBdr>
                            </w:div>
                            <w:div w:id="1183058609">
                              <w:marLeft w:val="0"/>
                              <w:marRight w:val="0"/>
                              <w:marTop w:val="0"/>
                              <w:marBottom w:val="0"/>
                              <w:divBdr>
                                <w:top w:val="none" w:sz="0" w:space="0" w:color="auto"/>
                                <w:left w:val="none" w:sz="0" w:space="0" w:color="auto"/>
                                <w:bottom w:val="none" w:sz="0" w:space="0" w:color="auto"/>
                                <w:right w:val="none" w:sz="0" w:space="0" w:color="auto"/>
                              </w:divBdr>
                              <w:divsChild>
                                <w:div w:id="1034964967">
                                  <w:marLeft w:val="0"/>
                                  <w:marRight w:val="0"/>
                                  <w:marTop w:val="0"/>
                                  <w:marBottom w:val="240"/>
                                  <w:divBdr>
                                    <w:top w:val="none" w:sz="0" w:space="0" w:color="auto"/>
                                    <w:left w:val="none" w:sz="0" w:space="0" w:color="auto"/>
                                    <w:bottom w:val="single" w:sz="18" w:space="0" w:color="EAEAEA"/>
                                    <w:right w:val="none" w:sz="0" w:space="0" w:color="auto"/>
                                  </w:divBdr>
                                </w:div>
                              </w:divsChild>
                            </w:div>
                            <w:div w:id="602803190">
                              <w:marLeft w:val="0"/>
                              <w:marRight w:val="0"/>
                              <w:marTop w:val="0"/>
                              <w:marBottom w:val="240"/>
                              <w:divBdr>
                                <w:top w:val="none" w:sz="0" w:space="0" w:color="auto"/>
                                <w:left w:val="none" w:sz="0" w:space="0" w:color="auto"/>
                                <w:bottom w:val="single" w:sz="18" w:space="0" w:color="EAEAEA"/>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2360</Characters>
  <Application>Microsoft Office Word</Application>
  <DocSecurity>0</DocSecurity>
  <Lines>51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Preston</dc:creator>
  <cp:keywords/>
  <dc:description/>
  <cp:lastModifiedBy>Michelle Tezak</cp:lastModifiedBy>
  <cp:revision>2</cp:revision>
  <cp:lastPrinted>2017-09-06T16:53:00Z</cp:lastPrinted>
  <dcterms:created xsi:type="dcterms:W3CDTF">2026-06-03T18:05:00Z</dcterms:created>
  <dcterms:modified xsi:type="dcterms:W3CDTF">2026-06-03T18:05:00Z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ead14aaf-b5a0-4555-b12a-91eaa6e89c97</vt:lpwstr>
  </property>
</Properties>
</file>